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31B0" w:rsidRPr="00BB0F86" w:rsidRDefault="001A31B0" w:rsidP="001A31B0">
      <w:pPr>
        <w:widowControl w:val="0"/>
        <w:autoSpaceDE w:val="0"/>
        <w:autoSpaceDN w:val="0"/>
        <w:adjustRightInd w:val="0"/>
        <w:spacing w:after="0" w:line="240" w:lineRule="auto"/>
        <w:jc w:val="center"/>
        <w:rPr>
          <w:rFonts w:ascii="Arial" w:hAnsi="Arial" w:cs="Arial"/>
          <w:b/>
          <w:sz w:val="16"/>
          <w:szCs w:val="16"/>
          <w:lang w:val="en-US"/>
        </w:rPr>
      </w:pPr>
      <w:bookmarkStart w:id="0" w:name="_GoBack"/>
      <w:bookmarkEnd w:id="0"/>
      <w:r>
        <w:rPr>
          <w:rFonts w:ascii="Arial" w:hAnsi="Arial" w:cs="Arial"/>
          <w:b/>
          <w:szCs w:val="16"/>
          <w:lang w:val="en-US"/>
        </w:rPr>
        <w:t>Minority influence</w:t>
      </w:r>
      <w:r w:rsidRPr="00BB0F86">
        <w:rPr>
          <w:rFonts w:ascii="Arial" w:hAnsi="Arial" w:cs="Arial"/>
          <w:b/>
          <w:szCs w:val="16"/>
          <w:lang w:val="en-US"/>
        </w:rPr>
        <w:t xml:space="preserve"> </w:t>
      </w:r>
      <w:r>
        <w:rPr>
          <w:rFonts w:ascii="Arial" w:hAnsi="Arial" w:cs="Arial"/>
          <w:b/>
          <w:szCs w:val="16"/>
          <w:lang w:val="en-US"/>
        </w:rPr>
        <w:t>Exam Q</w:t>
      </w:r>
      <w:r w:rsidRPr="00BB0F86">
        <w:rPr>
          <w:rFonts w:ascii="Arial" w:hAnsi="Arial" w:cs="Arial"/>
          <w:b/>
          <w:szCs w:val="16"/>
          <w:lang w:val="en-US"/>
        </w:rPr>
        <w:t>uestions</w:t>
      </w:r>
      <w:r w:rsidRPr="00BB0F86">
        <w:rPr>
          <w:rFonts w:ascii="Arial" w:hAnsi="Arial" w:cs="Arial"/>
          <w:b/>
          <w:sz w:val="16"/>
          <w:szCs w:val="16"/>
          <w:lang w:val="en-US"/>
        </w:rPr>
        <w:br/>
      </w:r>
    </w:p>
    <w:p w:rsidR="009D0B01" w:rsidRDefault="009D0B01">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br/>
      </w:r>
    </w:p>
    <w:p w:rsidR="009D0B01" w:rsidRDefault="009D0B01">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Q1.</w:t>
      </w:r>
      <w:r>
        <w:rPr>
          <w:rFonts w:ascii="Arial" w:hAnsi="Arial" w:cs="Arial"/>
          <w:lang w:val="en-US"/>
        </w:rPr>
        <w:t> </w:t>
      </w:r>
    </w:p>
    <w:p w:rsidR="009D0B01" w:rsidRDefault="009D0B01">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Explain how a minority can bring about social change.</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i/>
          <w:iCs/>
          <w:lang w:val="en-US"/>
        </w:rPr>
        <w:t>Extra space</w:t>
      </w:r>
      <w:r>
        <w:rPr>
          <w:rFonts w:ascii="Arial" w:hAnsi="Arial" w:cs="Arial"/>
          <w:lang w:val="en-US"/>
        </w:rPr>
        <w:t xml:space="preserve"> ............................................................................................................</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4 marks)</w:t>
      </w:r>
    </w:p>
    <w:p w:rsidR="009D0B01" w:rsidRDefault="009D0B01">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9D0B01" w:rsidRDefault="009D0B01">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9D0B01" w:rsidRDefault="009D0B01">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Q2.</w:t>
      </w:r>
      <w:r>
        <w:rPr>
          <w:rFonts w:ascii="Arial" w:hAnsi="Arial" w:cs="Arial"/>
          <w:lang w:val="en-US"/>
        </w:rPr>
        <w:t> </w:t>
      </w:r>
    </w:p>
    <w:p w:rsidR="009D0B01" w:rsidRDefault="009D0B01">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Explain how social influence research helps us to understand social change.</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lastRenderedPageBreak/>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i/>
          <w:iCs/>
          <w:lang w:val="en-US"/>
        </w:rPr>
        <w:t>Extra space</w:t>
      </w:r>
      <w:r>
        <w:rPr>
          <w:rFonts w:ascii="Arial" w:hAnsi="Arial" w:cs="Arial"/>
          <w:lang w:val="en-US"/>
        </w:rPr>
        <w:t xml:space="preserve"> ............................................................................................................</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9D0B01" w:rsidRDefault="009D0B01">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6 marks)</w:t>
      </w:r>
    </w:p>
    <w:p w:rsidR="009D0B01" w:rsidRDefault="009D0B01">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9D0B01" w:rsidRDefault="009D0B01">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9D0B01" w:rsidRDefault="009D0B01">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Q3.</w:t>
      </w:r>
      <w:r>
        <w:rPr>
          <w:rFonts w:ascii="Arial" w:hAnsi="Arial" w:cs="Arial"/>
          <w:lang w:val="en-US"/>
        </w:rPr>
        <w:t> </w:t>
      </w:r>
    </w:p>
    <w:p w:rsidR="009D0B01" w:rsidRDefault="009D0B01">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Read the item and then answer the question that follows.</w:t>
      </w:r>
    </w:p>
    <w:p w:rsidR="009D0B01" w:rsidRDefault="009D0B01">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85" w:type="dxa"/>
        <w:tblLayout w:type="fixed"/>
        <w:tblCellMar>
          <w:left w:w="75" w:type="dxa"/>
          <w:right w:w="75" w:type="dxa"/>
        </w:tblCellMar>
        <w:tblLook w:val="0000" w:firstRow="0" w:lastRow="0" w:firstColumn="0" w:lastColumn="0" w:noHBand="0" w:noVBand="0"/>
      </w:tblPr>
      <w:tblGrid>
        <w:gridCol w:w="650"/>
        <w:gridCol w:w="7785"/>
      </w:tblGrid>
      <w:tr w:rsidR="009D0B01">
        <w:tblPrEx>
          <w:tblCellMar>
            <w:top w:w="0" w:type="dxa"/>
            <w:bottom w:w="0" w:type="dxa"/>
          </w:tblCellMar>
        </w:tblPrEx>
        <w:tc>
          <w:tcPr>
            <w:tcW w:w="650" w:type="dxa"/>
            <w:tcBorders>
              <w:top w:val="nil"/>
              <w:left w:val="nil"/>
              <w:bottom w:val="nil"/>
              <w:right w:val="nil"/>
            </w:tcBorders>
            <w:vAlign w:val="center"/>
          </w:tcPr>
          <w:p w:rsidR="009D0B01" w:rsidRDefault="009D0B01">
            <w:pPr>
              <w:widowControl w:val="0"/>
              <w:autoSpaceDE w:val="0"/>
              <w:autoSpaceDN w:val="0"/>
              <w:adjustRightInd w:val="0"/>
              <w:spacing w:after="0" w:line="240" w:lineRule="auto"/>
              <w:ind w:left="360"/>
              <w:rPr>
                <w:rFonts w:ascii="Arial" w:hAnsi="Arial" w:cs="Arial"/>
                <w:sz w:val="16"/>
                <w:szCs w:val="16"/>
                <w:lang w:val="en-US"/>
              </w:rPr>
            </w:pPr>
            <w:r>
              <w:rPr>
                <w:rFonts w:ascii="Arial" w:hAnsi="Arial" w:cs="Arial"/>
                <w:sz w:val="16"/>
                <w:szCs w:val="16"/>
                <w:lang w:val="en-US"/>
              </w:rPr>
              <w:t> </w:t>
            </w:r>
          </w:p>
        </w:tc>
        <w:tc>
          <w:tcPr>
            <w:tcW w:w="7785" w:type="dxa"/>
            <w:tcBorders>
              <w:top w:val="single" w:sz="8" w:space="0" w:color="000000"/>
              <w:left w:val="single" w:sz="8" w:space="0" w:color="000000"/>
              <w:bottom w:val="single" w:sz="8" w:space="0" w:color="000000"/>
              <w:right w:val="single" w:sz="8" w:space="0" w:color="000000"/>
            </w:tcBorders>
            <w:vAlign w:val="center"/>
          </w:tcPr>
          <w:p w:rsidR="009D0B01" w:rsidRDefault="009D0B01">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The following article appeared in a newspaper:</w:t>
            </w:r>
            <w:r>
              <w:rPr>
                <w:rFonts w:ascii="Arial" w:hAnsi="Arial" w:cs="Arial"/>
                <w:lang w:val="en-US"/>
              </w:rPr>
              <w:br/>
            </w:r>
            <w:r>
              <w:rPr>
                <w:rFonts w:ascii="Arial" w:hAnsi="Arial" w:cs="Arial"/>
                <w:lang w:val="en-US"/>
              </w:rPr>
              <w:br/>
              <w:t xml:space="preserve">    </w:t>
            </w:r>
            <w:r>
              <w:rPr>
                <w:rFonts w:ascii="Arial" w:hAnsi="Arial" w:cs="Arial"/>
                <w:b/>
                <w:bCs/>
                <w:lang w:val="en-US"/>
              </w:rPr>
              <w:t xml:space="preserve">Britain’s views on homosexuality – the biggest social change of </w:t>
            </w:r>
            <w:r>
              <w:rPr>
                <w:rFonts w:ascii="Arial" w:hAnsi="Arial" w:cs="Arial"/>
                <w:b/>
                <w:bCs/>
                <w:lang w:val="en-US"/>
              </w:rPr>
              <w:br/>
              <w:t>                                             the last 30 years?</w:t>
            </w:r>
            <w:r>
              <w:rPr>
                <w:rFonts w:ascii="Arial" w:hAnsi="Arial" w:cs="Arial"/>
                <w:b/>
                <w:bCs/>
                <w:lang w:val="en-US"/>
              </w:rPr>
              <w:br/>
            </w:r>
            <w:r>
              <w:rPr>
                <w:rFonts w:ascii="Arial" w:hAnsi="Arial" w:cs="Arial"/>
                <w:b/>
                <w:bCs/>
                <w:lang w:val="en-US"/>
              </w:rPr>
              <w:br/>
            </w:r>
            <w:r>
              <w:rPr>
                <w:rFonts w:ascii="Arial" w:hAnsi="Arial" w:cs="Arial"/>
                <w:lang w:val="en-US"/>
              </w:rPr>
              <w:t xml:space="preserve">In the UK, views on homosexuality have changed significantly in recent times. Thirty years ago, almost two-thirds of the British public opposed same-sex relationships because they were ‘morally wrong’. These days, homosexuality is accepted and the majority of British people support recent changes to the laws on gay marriage and adoption. </w:t>
            </w:r>
          </w:p>
        </w:tc>
      </w:tr>
    </w:tbl>
    <w:p w:rsidR="009D0B01" w:rsidRDefault="009D0B01">
      <w:pPr>
        <w:widowControl w:val="0"/>
        <w:autoSpaceDE w:val="0"/>
        <w:autoSpaceDN w:val="0"/>
        <w:adjustRightInd w:val="0"/>
        <w:spacing w:after="0" w:line="240" w:lineRule="auto"/>
        <w:rPr>
          <w:rFonts w:ascii="Arial" w:hAnsi="Arial" w:cs="Arial"/>
          <w:sz w:val="16"/>
          <w:szCs w:val="16"/>
          <w:lang w:val="en-US"/>
        </w:rPr>
      </w:pP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With reference to the article above, explain how social influence leads to social change.</w:t>
      </w:r>
    </w:p>
    <w:p w:rsidR="009D0B01" w:rsidRDefault="009D0B01">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6 marks)</w:t>
      </w:r>
    </w:p>
    <w:p w:rsidR="009D0B01" w:rsidRDefault="009D0B01">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9D0B01" w:rsidRDefault="009D0B01">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9D0B01" w:rsidRDefault="009D0B01">
      <w:pPr>
        <w:widowControl w:val="0"/>
        <w:autoSpaceDE w:val="0"/>
        <w:autoSpaceDN w:val="0"/>
        <w:adjustRightInd w:val="0"/>
        <w:spacing w:after="0" w:line="240" w:lineRule="auto"/>
        <w:rPr>
          <w:rFonts w:ascii="Arial" w:hAnsi="Arial" w:cs="Arial"/>
          <w:b/>
          <w:bCs/>
          <w:sz w:val="20"/>
          <w:szCs w:val="20"/>
          <w:lang w:val="en-US"/>
        </w:rPr>
      </w:pPr>
      <w:r>
        <w:rPr>
          <w:rFonts w:ascii="Arial" w:hAnsi="Arial" w:cs="Arial"/>
          <w:b/>
          <w:bCs/>
          <w:sz w:val="20"/>
          <w:szCs w:val="20"/>
          <w:lang w:val="en-US"/>
        </w:rPr>
        <w:br w:type="page"/>
      </w:r>
    </w:p>
    <w:p w:rsidR="009D0B01" w:rsidRDefault="009D0B01">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t> </w:t>
      </w:r>
    </w:p>
    <w:p w:rsidR="009D0B01" w:rsidRDefault="009D0B01">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br/>
      </w:r>
    </w:p>
    <w:p w:rsidR="009D0B01" w:rsidRDefault="009D0B01">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M1.</w:t>
      </w:r>
      <w:r>
        <w:rPr>
          <w:rFonts w:ascii="Arial" w:hAnsi="Arial" w:cs="Arial"/>
          <w:lang w:val="en-US"/>
        </w:rPr>
        <w:t> </w:t>
      </w:r>
    </w:p>
    <w:p w:rsidR="009D0B01" w:rsidRDefault="009D0B01">
      <w:pPr>
        <w:widowControl w:val="0"/>
        <w:autoSpaceDE w:val="0"/>
        <w:autoSpaceDN w:val="0"/>
        <w:adjustRightInd w:val="0"/>
        <w:spacing w:after="0" w:line="240" w:lineRule="auto"/>
        <w:ind w:left="567" w:right="567"/>
        <w:rPr>
          <w:rFonts w:ascii="Arial" w:hAnsi="Arial" w:cs="Arial"/>
          <w:color w:val="2E2EFE"/>
          <w:lang w:val="en-US"/>
        </w:rPr>
      </w:pPr>
      <w:r>
        <w:rPr>
          <w:rFonts w:ascii="Arial" w:hAnsi="Arial" w:cs="Arial"/>
          <w:color w:val="2E2EFE"/>
          <w:lang w:val="en-US"/>
        </w:rPr>
        <w:t>Please note that the AOs for the new AQA Specification (Sept 2015 onwards) have changed. Under the new Specification the following system of AOs applies:</w:t>
      </w:r>
    </w:p>
    <w:p w:rsidR="009D0B01" w:rsidRDefault="009D0B01">
      <w:pPr>
        <w:widowControl w:val="0"/>
        <w:autoSpaceDE w:val="0"/>
        <w:autoSpaceDN w:val="0"/>
        <w:adjustRightInd w:val="0"/>
        <w:spacing w:before="240" w:after="0" w:line="240" w:lineRule="auto"/>
        <w:ind w:left="1134" w:right="567" w:hanging="567"/>
        <w:rPr>
          <w:rFonts w:ascii="Arial" w:hAnsi="Arial" w:cs="Arial"/>
          <w:color w:val="2E2EFE"/>
          <w:lang w:val="en-US"/>
        </w:rPr>
      </w:pPr>
      <w:r>
        <w:rPr>
          <w:rFonts w:ascii="Arial" w:hAnsi="Arial" w:cs="Arial"/>
          <w:color w:val="2E2EFE"/>
          <w:lang w:val="en-US"/>
        </w:rPr>
        <w:t>•        AO1 knowledge and understanding</w:t>
      </w:r>
    </w:p>
    <w:p w:rsidR="009D0B01" w:rsidRDefault="009D0B01">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AO2 application (of psychological knowledge)</w:t>
      </w:r>
    </w:p>
    <w:p w:rsidR="009D0B01" w:rsidRDefault="009D0B01">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AO3 evaluation, analysis, interpretation.</w:t>
      </w:r>
    </w:p>
    <w:p w:rsidR="009D0B01" w:rsidRDefault="009D0B01">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br/>
      </w:r>
      <w:r>
        <w:rPr>
          <w:rFonts w:ascii="Arial" w:hAnsi="Arial" w:cs="Arial"/>
          <w:color w:val="2E2EFE"/>
          <w:lang w:val="en-US"/>
        </w:rPr>
        <w:br/>
      </w:r>
    </w:p>
    <w:p w:rsidR="009D0B01" w:rsidRDefault="009D0B01">
      <w:pPr>
        <w:widowControl w:val="0"/>
        <w:autoSpaceDE w:val="0"/>
        <w:autoSpaceDN w:val="0"/>
        <w:adjustRightInd w:val="0"/>
        <w:spacing w:before="240" w:after="0" w:line="240" w:lineRule="auto"/>
        <w:ind w:left="567" w:right="567"/>
        <w:rPr>
          <w:rFonts w:ascii="Arial" w:hAnsi="Arial" w:cs="Arial"/>
          <w:color w:val="2E2EFE"/>
          <w:lang w:val="en-US"/>
        </w:rPr>
      </w:pPr>
      <w:r>
        <w:rPr>
          <w:rFonts w:ascii="Arial" w:hAnsi="Arial" w:cs="Arial"/>
          <w:color w:val="2E2EFE"/>
          <w:lang w:val="en-US"/>
        </w:rPr>
        <w:t>Although the essential content for this mark scheme remains the same, mark schemes for the new AQA Specification (Sept 2015 onwards) take a different format as follows:</w:t>
      </w:r>
    </w:p>
    <w:p w:rsidR="009D0B01" w:rsidRDefault="009D0B01">
      <w:pPr>
        <w:widowControl w:val="0"/>
        <w:autoSpaceDE w:val="0"/>
        <w:autoSpaceDN w:val="0"/>
        <w:adjustRightInd w:val="0"/>
        <w:spacing w:before="240" w:after="0" w:line="240" w:lineRule="auto"/>
        <w:ind w:left="1134" w:right="567" w:hanging="567"/>
        <w:rPr>
          <w:rFonts w:ascii="Arial" w:hAnsi="Arial" w:cs="Arial"/>
          <w:color w:val="2E2EFE"/>
          <w:lang w:val="en-US"/>
        </w:rPr>
      </w:pPr>
      <w:r>
        <w:rPr>
          <w:rFonts w:ascii="Arial" w:hAnsi="Arial" w:cs="Arial"/>
          <w:color w:val="2E2EFE"/>
          <w:lang w:val="en-US"/>
        </w:rPr>
        <w:t xml:space="preserve">•        A single set of numbered levels (formerly bands) to cover all skills </w:t>
      </w:r>
    </w:p>
    <w:p w:rsidR="009D0B01" w:rsidRDefault="009D0B01">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Content appears as a bulleted list</w:t>
      </w:r>
    </w:p>
    <w:p w:rsidR="009D0B01" w:rsidRDefault="009D0B01">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No IDA expectation in A Level essays, however, credit for references to issues, debates and approaches where relevant.</w:t>
      </w:r>
    </w:p>
    <w:p w:rsidR="009D0B01" w:rsidRDefault="009D0B01">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br/>
      </w:r>
      <w:r>
        <w:rPr>
          <w:rFonts w:ascii="Arial" w:hAnsi="Arial" w:cs="Arial"/>
          <w:color w:val="2E2EFE"/>
          <w:lang w:val="en-US"/>
        </w:rPr>
        <w:br/>
      </w:r>
    </w:p>
    <w:p w:rsidR="009D0B01" w:rsidRDefault="009D0B01">
      <w:pPr>
        <w:widowControl w:val="0"/>
        <w:autoSpaceDE w:val="0"/>
        <w:autoSpaceDN w:val="0"/>
        <w:adjustRightInd w:val="0"/>
        <w:spacing w:before="240" w:after="0" w:line="240" w:lineRule="auto"/>
        <w:ind w:left="567" w:right="567"/>
        <w:rPr>
          <w:rFonts w:ascii="Arial" w:hAnsi="Arial" w:cs="Arial"/>
          <w:b/>
          <w:bCs/>
          <w:lang w:val="en-US"/>
        </w:rPr>
      </w:pPr>
      <w:r>
        <w:rPr>
          <w:rFonts w:ascii="Arial" w:hAnsi="Arial" w:cs="Arial"/>
          <w:b/>
          <w:bCs/>
          <w:lang w:val="en-US"/>
        </w:rPr>
        <w:t>AO2 = 4</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Unlike majority influence, which maintains the status quo, minority influence brings about social change. If a minority is consistent, flexible and non-dogmatic, they can challenge the beliefs held by the majority. Over time, through the snowball effect the minority becomes the majority and their beliefs become widely held. Sometimes through social crypto-amnesia, the original source of the influence is forgotten. Candidates may refer to research such as that by Moscovici, but the focus of the answer should be on explaining social change, rather than on describing his research itself.</w:t>
      </w:r>
    </w:p>
    <w:p w:rsidR="009D0B01" w:rsidRDefault="009D0B01">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9D0B01" w:rsidRDefault="009D0B01">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85" w:type="dxa"/>
        <w:tblLayout w:type="fixed"/>
        <w:tblCellMar>
          <w:left w:w="75" w:type="dxa"/>
          <w:right w:w="75" w:type="dxa"/>
        </w:tblCellMar>
        <w:tblLook w:val="0000" w:firstRow="0" w:lastRow="0" w:firstColumn="0" w:lastColumn="0" w:noHBand="0" w:noVBand="0"/>
      </w:tblPr>
      <w:tblGrid>
        <w:gridCol w:w="639"/>
        <w:gridCol w:w="8351"/>
      </w:tblGrid>
      <w:tr w:rsidR="009D0B01">
        <w:tblPrEx>
          <w:tblCellMar>
            <w:top w:w="0" w:type="dxa"/>
            <w:bottom w:w="0" w:type="dxa"/>
          </w:tblCellMar>
        </w:tblPrEx>
        <w:tc>
          <w:tcPr>
            <w:tcW w:w="639" w:type="dxa"/>
            <w:tcBorders>
              <w:top w:val="nil"/>
              <w:left w:val="nil"/>
              <w:bottom w:val="nil"/>
              <w:right w:val="nil"/>
            </w:tcBorders>
            <w:vAlign w:val="center"/>
          </w:tcPr>
          <w:p w:rsidR="009D0B01" w:rsidRDefault="009D0B01">
            <w:pPr>
              <w:widowControl w:val="0"/>
              <w:autoSpaceDE w:val="0"/>
              <w:autoSpaceDN w:val="0"/>
              <w:adjustRightInd w:val="0"/>
              <w:spacing w:after="0" w:line="240" w:lineRule="auto"/>
              <w:ind w:left="572"/>
              <w:rPr>
                <w:rFonts w:ascii="Arial" w:hAnsi="Arial" w:cs="Arial"/>
                <w:sz w:val="16"/>
                <w:szCs w:val="16"/>
                <w:lang w:val="en-US"/>
              </w:rPr>
            </w:pPr>
            <w:r>
              <w:rPr>
                <w:rFonts w:ascii="Arial" w:hAnsi="Arial" w:cs="Arial"/>
                <w:sz w:val="16"/>
                <w:szCs w:val="16"/>
                <w:lang w:val="en-US"/>
              </w:rPr>
              <w:t> </w:t>
            </w:r>
          </w:p>
        </w:tc>
        <w:tc>
          <w:tcPr>
            <w:tcW w:w="8351" w:type="dxa"/>
            <w:tcBorders>
              <w:top w:val="single" w:sz="8" w:space="0" w:color="000000"/>
              <w:left w:val="single" w:sz="8" w:space="0" w:color="000000"/>
              <w:bottom w:val="single" w:sz="8" w:space="0" w:color="000000"/>
              <w:right w:val="single" w:sz="8" w:space="0" w:color="000000"/>
            </w:tcBorders>
          </w:tcPr>
          <w:p w:rsidR="009D0B01" w:rsidRDefault="009D0B01">
            <w:pPr>
              <w:widowControl w:val="0"/>
              <w:autoSpaceDE w:val="0"/>
              <w:autoSpaceDN w:val="0"/>
              <w:adjustRightInd w:val="0"/>
              <w:spacing w:before="120" w:after="120" w:line="240" w:lineRule="auto"/>
              <w:rPr>
                <w:rFonts w:ascii="Arial" w:hAnsi="Arial" w:cs="Arial"/>
                <w:b/>
                <w:bCs/>
                <w:lang w:val="en-US"/>
              </w:rPr>
            </w:pPr>
            <w:r>
              <w:rPr>
                <w:rFonts w:ascii="Arial" w:hAnsi="Arial" w:cs="Arial"/>
                <w:b/>
                <w:bCs/>
                <w:lang w:val="en-US"/>
              </w:rPr>
              <w:t>AO2    Explanation of minority influence in social change</w:t>
            </w:r>
          </w:p>
        </w:tc>
      </w:tr>
      <w:tr w:rsidR="009D0B01">
        <w:tblPrEx>
          <w:tblCellMar>
            <w:top w:w="0" w:type="dxa"/>
            <w:bottom w:w="0" w:type="dxa"/>
          </w:tblCellMar>
        </w:tblPrEx>
        <w:tc>
          <w:tcPr>
            <w:tcW w:w="639" w:type="dxa"/>
            <w:tcBorders>
              <w:top w:val="nil"/>
              <w:left w:val="nil"/>
              <w:bottom w:val="nil"/>
              <w:right w:val="nil"/>
            </w:tcBorders>
            <w:vAlign w:val="center"/>
          </w:tcPr>
          <w:p w:rsidR="009D0B01" w:rsidRDefault="009D0B01">
            <w:pPr>
              <w:widowControl w:val="0"/>
              <w:autoSpaceDE w:val="0"/>
              <w:autoSpaceDN w:val="0"/>
              <w:adjustRightInd w:val="0"/>
              <w:spacing w:after="0" w:line="240" w:lineRule="auto"/>
              <w:ind w:left="572"/>
              <w:rPr>
                <w:rFonts w:ascii="Arial" w:hAnsi="Arial" w:cs="Arial"/>
                <w:sz w:val="16"/>
                <w:szCs w:val="16"/>
                <w:lang w:val="en-US"/>
              </w:rPr>
            </w:pPr>
            <w:r>
              <w:rPr>
                <w:rFonts w:ascii="Arial" w:hAnsi="Arial" w:cs="Arial"/>
                <w:sz w:val="16"/>
                <w:szCs w:val="16"/>
                <w:lang w:val="en-US"/>
              </w:rPr>
              <w:t> </w:t>
            </w:r>
          </w:p>
        </w:tc>
        <w:tc>
          <w:tcPr>
            <w:tcW w:w="8351" w:type="dxa"/>
            <w:tcBorders>
              <w:top w:val="nil"/>
              <w:left w:val="single" w:sz="8" w:space="0" w:color="000000"/>
              <w:bottom w:val="single" w:sz="8" w:space="0" w:color="000000"/>
              <w:right w:val="single" w:sz="8" w:space="0" w:color="000000"/>
            </w:tcBorders>
          </w:tcPr>
          <w:p w:rsidR="009D0B01" w:rsidRDefault="009D0B01">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4 marks  Effective explanation</w:t>
            </w:r>
            <w:r>
              <w:rPr>
                <w:rFonts w:ascii="Arial" w:hAnsi="Arial" w:cs="Arial"/>
                <w:b/>
                <w:bCs/>
                <w:lang w:val="en-US"/>
              </w:rPr>
              <w:br/>
            </w:r>
            <w:r>
              <w:rPr>
                <w:rFonts w:ascii="Arial" w:hAnsi="Arial" w:cs="Arial"/>
                <w:lang w:val="en-US"/>
              </w:rPr>
              <w:t>Effective explanation that demonstrates sound knowledge of the role of minority influence in social change.</w:t>
            </w:r>
          </w:p>
        </w:tc>
      </w:tr>
      <w:tr w:rsidR="009D0B01">
        <w:tblPrEx>
          <w:tblCellMar>
            <w:top w:w="0" w:type="dxa"/>
            <w:bottom w:w="0" w:type="dxa"/>
          </w:tblCellMar>
        </w:tblPrEx>
        <w:tc>
          <w:tcPr>
            <w:tcW w:w="639" w:type="dxa"/>
            <w:tcBorders>
              <w:top w:val="nil"/>
              <w:left w:val="nil"/>
              <w:bottom w:val="nil"/>
              <w:right w:val="nil"/>
            </w:tcBorders>
            <w:vAlign w:val="center"/>
          </w:tcPr>
          <w:p w:rsidR="009D0B01" w:rsidRDefault="009D0B01">
            <w:pPr>
              <w:widowControl w:val="0"/>
              <w:autoSpaceDE w:val="0"/>
              <w:autoSpaceDN w:val="0"/>
              <w:adjustRightInd w:val="0"/>
              <w:spacing w:after="0" w:line="240" w:lineRule="auto"/>
              <w:ind w:left="572"/>
              <w:rPr>
                <w:rFonts w:ascii="Arial" w:hAnsi="Arial" w:cs="Arial"/>
                <w:sz w:val="16"/>
                <w:szCs w:val="16"/>
                <w:lang w:val="en-US"/>
              </w:rPr>
            </w:pPr>
            <w:r>
              <w:rPr>
                <w:rFonts w:ascii="Arial" w:hAnsi="Arial" w:cs="Arial"/>
                <w:sz w:val="16"/>
                <w:szCs w:val="16"/>
                <w:lang w:val="en-US"/>
              </w:rPr>
              <w:t> </w:t>
            </w:r>
          </w:p>
        </w:tc>
        <w:tc>
          <w:tcPr>
            <w:tcW w:w="8351" w:type="dxa"/>
            <w:tcBorders>
              <w:top w:val="nil"/>
              <w:left w:val="single" w:sz="8" w:space="0" w:color="000000"/>
              <w:bottom w:val="single" w:sz="8" w:space="0" w:color="000000"/>
              <w:right w:val="single" w:sz="8" w:space="0" w:color="000000"/>
            </w:tcBorders>
          </w:tcPr>
          <w:p w:rsidR="009D0B01" w:rsidRDefault="009D0B01">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3 marks  Reasonable explanation</w:t>
            </w:r>
            <w:r>
              <w:rPr>
                <w:rFonts w:ascii="Arial" w:hAnsi="Arial" w:cs="Arial"/>
                <w:b/>
                <w:bCs/>
                <w:lang w:val="en-US"/>
              </w:rPr>
              <w:br/>
            </w:r>
            <w:r>
              <w:rPr>
                <w:rFonts w:ascii="Arial" w:hAnsi="Arial" w:cs="Arial"/>
                <w:lang w:val="en-US"/>
              </w:rPr>
              <w:t>Reasonable explanation that demonstrates knowledge of the role of minority influence in social change.</w:t>
            </w:r>
          </w:p>
        </w:tc>
      </w:tr>
      <w:tr w:rsidR="009D0B01">
        <w:tblPrEx>
          <w:tblCellMar>
            <w:top w:w="0" w:type="dxa"/>
            <w:bottom w:w="0" w:type="dxa"/>
          </w:tblCellMar>
        </w:tblPrEx>
        <w:tc>
          <w:tcPr>
            <w:tcW w:w="639" w:type="dxa"/>
            <w:tcBorders>
              <w:top w:val="nil"/>
              <w:left w:val="nil"/>
              <w:bottom w:val="nil"/>
              <w:right w:val="nil"/>
            </w:tcBorders>
            <w:vAlign w:val="center"/>
          </w:tcPr>
          <w:p w:rsidR="009D0B01" w:rsidRDefault="009D0B01">
            <w:pPr>
              <w:widowControl w:val="0"/>
              <w:autoSpaceDE w:val="0"/>
              <w:autoSpaceDN w:val="0"/>
              <w:adjustRightInd w:val="0"/>
              <w:spacing w:after="0" w:line="240" w:lineRule="auto"/>
              <w:ind w:left="572"/>
              <w:rPr>
                <w:rFonts w:ascii="Arial" w:hAnsi="Arial" w:cs="Arial"/>
                <w:sz w:val="16"/>
                <w:szCs w:val="16"/>
                <w:lang w:val="en-US"/>
              </w:rPr>
            </w:pPr>
            <w:r>
              <w:rPr>
                <w:rFonts w:ascii="Arial" w:hAnsi="Arial" w:cs="Arial"/>
                <w:sz w:val="16"/>
                <w:szCs w:val="16"/>
                <w:lang w:val="en-US"/>
              </w:rPr>
              <w:t> </w:t>
            </w:r>
          </w:p>
        </w:tc>
        <w:tc>
          <w:tcPr>
            <w:tcW w:w="8351" w:type="dxa"/>
            <w:tcBorders>
              <w:top w:val="nil"/>
              <w:left w:val="single" w:sz="8" w:space="0" w:color="000000"/>
              <w:bottom w:val="single" w:sz="8" w:space="0" w:color="000000"/>
              <w:right w:val="single" w:sz="8" w:space="0" w:color="000000"/>
            </w:tcBorders>
          </w:tcPr>
          <w:p w:rsidR="009D0B01" w:rsidRDefault="009D0B01">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2 marks  Basic explanation</w:t>
            </w:r>
            <w:r>
              <w:rPr>
                <w:rFonts w:ascii="Arial" w:hAnsi="Arial" w:cs="Arial"/>
                <w:b/>
                <w:bCs/>
                <w:lang w:val="en-US"/>
              </w:rPr>
              <w:br/>
            </w:r>
            <w:r>
              <w:rPr>
                <w:rFonts w:ascii="Arial" w:hAnsi="Arial" w:cs="Arial"/>
                <w:lang w:val="en-US"/>
              </w:rPr>
              <w:t>Basic explanation of the role of minority influence in social change.</w:t>
            </w:r>
          </w:p>
        </w:tc>
      </w:tr>
      <w:tr w:rsidR="009D0B01">
        <w:tblPrEx>
          <w:tblCellMar>
            <w:top w:w="0" w:type="dxa"/>
            <w:bottom w:w="0" w:type="dxa"/>
          </w:tblCellMar>
        </w:tblPrEx>
        <w:tc>
          <w:tcPr>
            <w:tcW w:w="639" w:type="dxa"/>
            <w:tcBorders>
              <w:top w:val="nil"/>
              <w:left w:val="nil"/>
              <w:bottom w:val="nil"/>
              <w:right w:val="nil"/>
            </w:tcBorders>
            <w:vAlign w:val="center"/>
          </w:tcPr>
          <w:p w:rsidR="009D0B01" w:rsidRDefault="009D0B01">
            <w:pPr>
              <w:widowControl w:val="0"/>
              <w:autoSpaceDE w:val="0"/>
              <w:autoSpaceDN w:val="0"/>
              <w:adjustRightInd w:val="0"/>
              <w:spacing w:after="0" w:line="240" w:lineRule="auto"/>
              <w:ind w:left="572"/>
              <w:rPr>
                <w:rFonts w:ascii="Arial" w:hAnsi="Arial" w:cs="Arial"/>
                <w:sz w:val="16"/>
                <w:szCs w:val="16"/>
                <w:lang w:val="en-US"/>
              </w:rPr>
            </w:pPr>
            <w:r>
              <w:rPr>
                <w:rFonts w:ascii="Arial" w:hAnsi="Arial" w:cs="Arial"/>
                <w:sz w:val="16"/>
                <w:szCs w:val="16"/>
                <w:lang w:val="en-US"/>
              </w:rPr>
              <w:t> </w:t>
            </w:r>
          </w:p>
        </w:tc>
        <w:tc>
          <w:tcPr>
            <w:tcW w:w="8351" w:type="dxa"/>
            <w:tcBorders>
              <w:top w:val="nil"/>
              <w:left w:val="single" w:sz="8" w:space="0" w:color="000000"/>
              <w:bottom w:val="single" w:sz="8" w:space="0" w:color="000000"/>
              <w:right w:val="single" w:sz="8" w:space="0" w:color="000000"/>
            </w:tcBorders>
          </w:tcPr>
          <w:p w:rsidR="009D0B01" w:rsidRDefault="009D0B01">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1 mark  Rudimentary</w:t>
            </w:r>
            <w:r>
              <w:rPr>
                <w:rFonts w:ascii="Arial" w:hAnsi="Arial" w:cs="Arial"/>
                <w:b/>
                <w:bCs/>
                <w:lang w:val="en-US"/>
              </w:rPr>
              <w:br/>
            </w:r>
            <w:r>
              <w:rPr>
                <w:rFonts w:ascii="Arial" w:hAnsi="Arial" w:cs="Arial"/>
                <w:lang w:val="en-US"/>
              </w:rPr>
              <w:t>Rudimentary, muddled, explanation of the role of minority influence in social change demonstrating very limited knowledge.</w:t>
            </w:r>
          </w:p>
        </w:tc>
      </w:tr>
      <w:tr w:rsidR="009D0B01">
        <w:tblPrEx>
          <w:tblCellMar>
            <w:top w:w="0" w:type="dxa"/>
            <w:bottom w:w="0" w:type="dxa"/>
          </w:tblCellMar>
        </w:tblPrEx>
        <w:tc>
          <w:tcPr>
            <w:tcW w:w="639" w:type="dxa"/>
            <w:tcBorders>
              <w:top w:val="nil"/>
              <w:left w:val="nil"/>
              <w:bottom w:val="nil"/>
              <w:right w:val="nil"/>
            </w:tcBorders>
            <w:vAlign w:val="center"/>
          </w:tcPr>
          <w:p w:rsidR="009D0B01" w:rsidRDefault="009D0B01">
            <w:pPr>
              <w:widowControl w:val="0"/>
              <w:autoSpaceDE w:val="0"/>
              <w:autoSpaceDN w:val="0"/>
              <w:adjustRightInd w:val="0"/>
              <w:spacing w:after="0" w:line="240" w:lineRule="auto"/>
              <w:ind w:left="572"/>
              <w:rPr>
                <w:rFonts w:ascii="Arial" w:hAnsi="Arial" w:cs="Arial"/>
                <w:sz w:val="16"/>
                <w:szCs w:val="16"/>
                <w:lang w:val="en-US"/>
              </w:rPr>
            </w:pPr>
            <w:r>
              <w:rPr>
                <w:rFonts w:ascii="Arial" w:hAnsi="Arial" w:cs="Arial"/>
                <w:sz w:val="16"/>
                <w:szCs w:val="16"/>
                <w:lang w:val="en-US"/>
              </w:rPr>
              <w:t> </w:t>
            </w:r>
          </w:p>
        </w:tc>
        <w:tc>
          <w:tcPr>
            <w:tcW w:w="8351" w:type="dxa"/>
            <w:tcBorders>
              <w:top w:val="nil"/>
              <w:left w:val="single" w:sz="8" w:space="0" w:color="000000"/>
              <w:bottom w:val="single" w:sz="8" w:space="0" w:color="000000"/>
              <w:right w:val="single" w:sz="8" w:space="0" w:color="000000"/>
            </w:tcBorders>
          </w:tcPr>
          <w:p w:rsidR="009D0B01" w:rsidRDefault="009D0B01">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0 marks</w:t>
            </w:r>
            <w:r>
              <w:rPr>
                <w:rFonts w:ascii="Arial" w:hAnsi="Arial" w:cs="Arial"/>
                <w:b/>
                <w:bCs/>
                <w:lang w:val="en-US"/>
              </w:rPr>
              <w:br/>
            </w:r>
            <w:r>
              <w:rPr>
                <w:rFonts w:ascii="Arial" w:hAnsi="Arial" w:cs="Arial"/>
                <w:lang w:val="en-US"/>
              </w:rPr>
              <w:t>No creditworthy material.</w:t>
            </w:r>
          </w:p>
        </w:tc>
      </w:tr>
    </w:tbl>
    <w:p w:rsidR="009D0B01" w:rsidRDefault="009D0B01">
      <w:pPr>
        <w:widowControl w:val="0"/>
        <w:autoSpaceDE w:val="0"/>
        <w:autoSpaceDN w:val="0"/>
        <w:adjustRightInd w:val="0"/>
        <w:spacing w:after="0" w:line="240" w:lineRule="auto"/>
        <w:rPr>
          <w:rFonts w:ascii="Arial" w:hAnsi="Arial" w:cs="Arial"/>
          <w:sz w:val="16"/>
          <w:szCs w:val="16"/>
          <w:lang w:val="en-US"/>
        </w:rPr>
      </w:pPr>
    </w:p>
    <w:p w:rsidR="009D0B01" w:rsidRDefault="009D0B01">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br/>
      </w:r>
    </w:p>
    <w:p w:rsidR="009D0B01" w:rsidRDefault="009D0B01">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br/>
      </w:r>
      <w:r>
        <w:rPr>
          <w:rFonts w:ascii="Arial" w:hAnsi="Arial" w:cs="Arial"/>
          <w:sz w:val="16"/>
          <w:szCs w:val="16"/>
          <w:lang w:val="en-US"/>
        </w:rPr>
        <w:br/>
      </w:r>
    </w:p>
    <w:p w:rsidR="009D0B01" w:rsidRDefault="009D0B01">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M2.</w:t>
      </w:r>
      <w:r>
        <w:rPr>
          <w:rFonts w:ascii="Arial" w:hAnsi="Arial" w:cs="Arial"/>
          <w:lang w:val="en-US"/>
        </w:rPr>
        <w:t> </w:t>
      </w:r>
    </w:p>
    <w:p w:rsidR="009D0B01" w:rsidRDefault="009D0B01">
      <w:pPr>
        <w:widowControl w:val="0"/>
        <w:autoSpaceDE w:val="0"/>
        <w:autoSpaceDN w:val="0"/>
        <w:adjustRightInd w:val="0"/>
        <w:spacing w:after="0" w:line="240" w:lineRule="auto"/>
        <w:ind w:left="567" w:right="567"/>
        <w:rPr>
          <w:rFonts w:ascii="Arial" w:hAnsi="Arial" w:cs="Arial"/>
          <w:color w:val="2E2EFE"/>
          <w:lang w:val="en-US"/>
        </w:rPr>
      </w:pPr>
      <w:r>
        <w:rPr>
          <w:rFonts w:ascii="Arial" w:hAnsi="Arial" w:cs="Arial"/>
          <w:color w:val="2E2EFE"/>
          <w:lang w:val="en-US"/>
        </w:rPr>
        <w:t>Please note that the AOs for the new AQA Specification (Sept 2015 onwards) have changed. Under the new Specification the following system of AOs applies:</w:t>
      </w:r>
    </w:p>
    <w:p w:rsidR="009D0B01" w:rsidRDefault="009D0B01">
      <w:pPr>
        <w:widowControl w:val="0"/>
        <w:autoSpaceDE w:val="0"/>
        <w:autoSpaceDN w:val="0"/>
        <w:adjustRightInd w:val="0"/>
        <w:spacing w:before="240" w:after="0" w:line="240" w:lineRule="auto"/>
        <w:ind w:left="1134" w:right="567" w:hanging="567"/>
        <w:rPr>
          <w:rFonts w:ascii="Arial" w:hAnsi="Arial" w:cs="Arial"/>
          <w:color w:val="2E2EFE"/>
          <w:lang w:val="en-US"/>
        </w:rPr>
      </w:pPr>
      <w:r>
        <w:rPr>
          <w:rFonts w:ascii="Arial" w:hAnsi="Arial" w:cs="Arial"/>
          <w:color w:val="2E2EFE"/>
          <w:lang w:val="en-US"/>
        </w:rPr>
        <w:t>•        AO1 knowledge and understanding</w:t>
      </w:r>
    </w:p>
    <w:p w:rsidR="009D0B01" w:rsidRDefault="009D0B01">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AO2 application (of psychological knowledge)</w:t>
      </w:r>
    </w:p>
    <w:p w:rsidR="009D0B01" w:rsidRDefault="009D0B01">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AO3 evaluation, analysis, interpretation.</w:t>
      </w:r>
    </w:p>
    <w:p w:rsidR="009D0B01" w:rsidRDefault="009D0B01">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br/>
      </w:r>
      <w:r>
        <w:rPr>
          <w:rFonts w:ascii="Arial" w:hAnsi="Arial" w:cs="Arial"/>
          <w:color w:val="2E2EFE"/>
          <w:lang w:val="en-US"/>
        </w:rPr>
        <w:br/>
      </w:r>
    </w:p>
    <w:p w:rsidR="009D0B01" w:rsidRDefault="009D0B01">
      <w:pPr>
        <w:widowControl w:val="0"/>
        <w:autoSpaceDE w:val="0"/>
        <w:autoSpaceDN w:val="0"/>
        <w:adjustRightInd w:val="0"/>
        <w:spacing w:before="240" w:after="0" w:line="240" w:lineRule="auto"/>
        <w:ind w:left="567" w:right="567"/>
        <w:rPr>
          <w:rFonts w:ascii="Arial" w:hAnsi="Arial" w:cs="Arial"/>
          <w:color w:val="2E2EFE"/>
          <w:lang w:val="en-US"/>
        </w:rPr>
      </w:pPr>
      <w:r>
        <w:rPr>
          <w:rFonts w:ascii="Arial" w:hAnsi="Arial" w:cs="Arial"/>
          <w:color w:val="2E2EFE"/>
          <w:lang w:val="en-US"/>
        </w:rPr>
        <w:t>Although the essential content for this mark scheme remains the same, mark schemes for the new AQA Specification (Sept 2015 onwards) take a different format as follows:</w:t>
      </w:r>
    </w:p>
    <w:p w:rsidR="009D0B01" w:rsidRDefault="009D0B01">
      <w:pPr>
        <w:widowControl w:val="0"/>
        <w:autoSpaceDE w:val="0"/>
        <w:autoSpaceDN w:val="0"/>
        <w:adjustRightInd w:val="0"/>
        <w:spacing w:before="240" w:after="0" w:line="240" w:lineRule="auto"/>
        <w:ind w:left="1134" w:right="567" w:hanging="567"/>
        <w:rPr>
          <w:rFonts w:ascii="Arial" w:hAnsi="Arial" w:cs="Arial"/>
          <w:color w:val="2E2EFE"/>
          <w:lang w:val="en-US"/>
        </w:rPr>
      </w:pPr>
      <w:r>
        <w:rPr>
          <w:rFonts w:ascii="Arial" w:hAnsi="Arial" w:cs="Arial"/>
          <w:color w:val="2E2EFE"/>
          <w:lang w:val="en-US"/>
        </w:rPr>
        <w:t xml:space="preserve">•        A single set of numbered levels (formerly bands) to cover all skills </w:t>
      </w:r>
    </w:p>
    <w:p w:rsidR="009D0B01" w:rsidRDefault="009D0B01">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Content appears as a bulleted list</w:t>
      </w:r>
    </w:p>
    <w:p w:rsidR="009D0B01" w:rsidRDefault="009D0B01">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No IDA expectation in A Level essays, however, credit for references to issues, debates and approaches where relevant.</w:t>
      </w:r>
    </w:p>
    <w:p w:rsidR="009D0B01" w:rsidRDefault="009D0B01">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br/>
      </w:r>
      <w:r>
        <w:rPr>
          <w:rFonts w:ascii="Arial" w:hAnsi="Arial" w:cs="Arial"/>
          <w:color w:val="2E2EFE"/>
          <w:lang w:val="en-US"/>
        </w:rPr>
        <w:br/>
      </w:r>
    </w:p>
    <w:p w:rsidR="009D0B01" w:rsidRDefault="009D0B01">
      <w:pPr>
        <w:widowControl w:val="0"/>
        <w:autoSpaceDE w:val="0"/>
        <w:autoSpaceDN w:val="0"/>
        <w:adjustRightInd w:val="0"/>
        <w:spacing w:before="240" w:after="0" w:line="240" w:lineRule="auto"/>
        <w:ind w:left="567" w:right="567"/>
        <w:rPr>
          <w:rFonts w:ascii="Arial" w:hAnsi="Arial" w:cs="Arial"/>
          <w:b/>
          <w:bCs/>
          <w:lang w:val="en-US"/>
        </w:rPr>
      </w:pPr>
      <w:r>
        <w:rPr>
          <w:rFonts w:ascii="Arial" w:hAnsi="Arial" w:cs="Arial"/>
          <w:b/>
          <w:bCs/>
          <w:lang w:val="en-US"/>
        </w:rPr>
        <w:t>AO1 = 6</w:t>
      </w:r>
    </w:p>
    <w:p w:rsidR="009D0B01" w:rsidRDefault="009D0B01">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There are various ways in which social influence research can help explain social change and examiners must be aware of the wide range of possible answers here. However, social change refers to the change that occurs in a society and not at the individual level.</w:t>
      </w:r>
    </w:p>
    <w:p w:rsidR="009D0B01" w:rsidRDefault="009D0B01">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Minorities bring about social change by being consistent, flexible and non-dogmatic. Through social crypto-amnesia and the snowball effect, gradually the minority turns into the majority.</w:t>
      </w:r>
    </w:p>
    <w:p w:rsidR="009D0B01" w:rsidRDefault="009D0B01">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Dictators can bring about social change through power and through the process of obedience.</w:t>
      </w:r>
    </w:p>
    <w:p w:rsidR="009D0B01" w:rsidRDefault="009D0B01">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Detailed descriptions of studies (eg Moscovici) are only relevant if they are used effectively to show how they have helped our understanding.</w:t>
      </w:r>
    </w:p>
    <w:p w:rsidR="009D0B01" w:rsidRDefault="009D0B01">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Research can refer to either theory or study.</w:t>
      </w:r>
    </w:p>
    <w:p w:rsidR="009D0B01" w:rsidRDefault="009D0B01">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85" w:type="dxa"/>
        <w:tblLayout w:type="fixed"/>
        <w:tblCellMar>
          <w:left w:w="75" w:type="dxa"/>
          <w:right w:w="75" w:type="dxa"/>
        </w:tblCellMar>
        <w:tblLook w:val="0000" w:firstRow="0" w:lastRow="0" w:firstColumn="0" w:lastColumn="0" w:noHBand="0" w:noVBand="0"/>
      </w:tblPr>
      <w:tblGrid>
        <w:gridCol w:w="650"/>
        <w:gridCol w:w="8385"/>
      </w:tblGrid>
      <w:tr w:rsidR="009D0B01">
        <w:tblPrEx>
          <w:tblCellMar>
            <w:top w:w="0" w:type="dxa"/>
            <w:bottom w:w="0" w:type="dxa"/>
          </w:tblCellMar>
        </w:tblPrEx>
        <w:tc>
          <w:tcPr>
            <w:tcW w:w="650" w:type="dxa"/>
            <w:tcBorders>
              <w:top w:val="nil"/>
              <w:left w:val="nil"/>
              <w:bottom w:val="nil"/>
              <w:right w:val="nil"/>
            </w:tcBorders>
            <w:vAlign w:val="center"/>
          </w:tcPr>
          <w:p w:rsidR="009D0B01" w:rsidRDefault="009D0B01">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8385" w:type="dxa"/>
            <w:tcBorders>
              <w:top w:val="single" w:sz="8" w:space="0" w:color="000000"/>
              <w:left w:val="single" w:sz="8" w:space="0" w:color="000000"/>
              <w:bottom w:val="single" w:sz="8" w:space="0" w:color="000000"/>
              <w:right w:val="single" w:sz="8" w:space="0" w:color="000000"/>
            </w:tcBorders>
          </w:tcPr>
          <w:p w:rsidR="009D0B01" w:rsidRDefault="009D0B01">
            <w:pPr>
              <w:widowControl w:val="0"/>
              <w:autoSpaceDE w:val="0"/>
              <w:autoSpaceDN w:val="0"/>
              <w:adjustRightInd w:val="0"/>
              <w:spacing w:before="120" w:after="120" w:line="240" w:lineRule="auto"/>
              <w:rPr>
                <w:rFonts w:ascii="Arial" w:hAnsi="Arial" w:cs="Arial"/>
                <w:b/>
                <w:bCs/>
                <w:lang w:val="en-US"/>
              </w:rPr>
            </w:pPr>
            <w:r>
              <w:rPr>
                <w:rFonts w:ascii="Arial" w:hAnsi="Arial" w:cs="Arial"/>
                <w:b/>
                <w:bCs/>
                <w:lang w:val="en-US"/>
              </w:rPr>
              <w:t>AO1 Mark bands</w:t>
            </w:r>
          </w:p>
        </w:tc>
      </w:tr>
      <w:tr w:rsidR="009D0B01">
        <w:tblPrEx>
          <w:tblCellMar>
            <w:top w:w="0" w:type="dxa"/>
            <w:bottom w:w="0" w:type="dxa"/>
          </w:tblCellMar>
        </w:tblPrEx>
        <w:tc>
          <w:tcPr>
            <w:tcW w:w="650" w:type="dxa"/>
            <w:tcBorders>
              <w:top w:val="nil"/>
              <w:left w:val="nil"/>
              <w:bottom w:val="nil"/>
              <w:right w:val="nil"/>
            </w:tcBorders>
            <w:vAlign w:val="center"/>
          </w:tcPr>
          <w:p w:rsidR="009D0B01" w:rsidRDefault="009D0B01">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8385" w:type="dxa"/>
            <w:tcBorders>
              <w:top w:val="single" w:sz="8" w:space="0" w:color="000000"/>
              <w:left w:val="single" w:sz="8" w:space="0" w:color="000000"/>
              <w:bottom w:val="single" w:sz="8" w:space="0" w:color="000000"/>
              <w:right w:val="single" w:sz="8" w:space="0" w:color="000000"/>
            </w:tcBorders>
          </w:tcPr>
          <w:p w:rsidR="009D0B01" w:rsidRDefault="009D0B01">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6 marks  Accurate and reasonably detailed</w:t>
            </w:r>
            <w:r>
              <w:rPr>
                <w:rFonts w:ascii="Arial" w:hAnsi="Arial" w:cs="Arial"/>
                <w:b/>
                <w:bCs/>
                <w:lang w:val="en-US"/>
              </w:rPr>
              <w:br/>
            </w:r>
            <w:r>
              <w:rPr>
                <w:rFonts w:ascii="Arial" w:hAnsi="Arial" w:cs="Arial"/>
                <w:lang w:val="en-US"/>
              </w:rPr>
              <w:t>Accurate and reasonably detailed answer that demonstrates sound knowledge and understanding of how social influence research helps our understanding of social change. There is appropriate selection of material to address the question.</w:t>
            </w:r>
          </w:p>
        </w:tc>
      </w:tr>
      <w:tr w:rsidR="009D0B01">
        <w:tblPrEx>
          <w:tblCellMar>
            <w:top w:w="0" w:type="dxa"/>
            <w:bottom w:w="0" w:type="dxa"/>
          </w:tblCellMar>
        </w:tblPrEx>
        <w:tc>
          <w:tcPr>
            <w:tcW w:w="650" w:type="dxa"/>
            <w:tcBorders>
              <w:top w:val="nil"/>
              <w:left w:val="nil"/>
              <w:bottom w:val="nil"/>
              <w:right w:val="nil"/>
            </w:tcBorders>
            <w:vAlign w:val="center"/>
          </w:tcPr>
          <w:p w:rsidR="009D0B01" w:rsidRDefault="009D0B01">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8385" w:type="dxa"/>
            <w:tcBorders>
              <w:top w:val="single" w:sz="8" w:space="0" w:color="000000"/>
              <w:left w:val="single" w:sz="8" w:space="0" w:color="000000"/>
              <w:bottom w:val="single" w:sz="8" w:space="0" w:color="000000"/>
              <w:right w:val="single" w:sz="8" w:space="0" w:color="000000"/>
            </w:tcBorders>
          </w:tcPr>
          <w:p w:rsidR="009D0B01" w:rsidRDefault="009D0B01">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5 – 4 marks  Less detailed but generally accurate</w:t>
            </w:r>
            <w:r>
              <w:rPr>
                <w:rFonts w:ascii="Arial" w:hAnsi="Arial" w:cs="Arial"/>
                <w:b/>
                <w:bCs/>
                <w:lang w:val="en-US"/>
              </w:rPr>
              <w:br/>
            </w:r>
            <w:r>
              <w:rPr>
                <w:rFonts w:ascii="Arial" w:hAnsi="Arial" w:cs="Arial"/>
                <w:lang w:val="en-US"/>
              </w:rPr>
              <w:t>Less detailed but generally accurate answer that demonstrates relevant knowledge and understanding. There is some evidence of selection of material to address the question.</w:t>
            </w:r>
          </w:p>
        </w:tc>
      </w:tr>
      <w:tr w:rsidR="009D0B01">
        <w:tblPrEx>
          <w:tblCellMar>
            <w:top w:w="0" w:type="dxa"/>
            <w:bottom w:w="0" w:type="dxa"/>
          </w:tblCellMar>
        </w:tblPrEx>
        <w:tc>
          <w:tcPr>
            <w:tcW w:w="650" w:type="dxa"/>
            <w:tcBorders>
              <w:top w:val="nil"/>
              <w:left w:val="nil"/>
              <w:bottom w:val="nil"/>
              <w:right w:val="nil"/>
            </w:tcBorders>
            <w:vAlign w:val="center"/>
          </w:tcPr>
          <w:p w:rsidR="009D0B01" w:rsidRDefault="009D0B01">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8385" w:type="dxa"/>
            <w:tcBorders>
              <w:top w:val="single" w:sz="8" w:space="0" w:color="000000"/>
              <w:left w:val="single" w:sz="8" w:space="0" w:color="000000"/>
              <w:bottom w:val="single" w:sz="8" w:space="0" w:color="000000"/>
              <w:right w:val="single" w:sz="8" w:space="0" w:color="000000"/>
            </w:tcBorders>
          </w:tcPr>
          <w:p w:rsidR="009D0B01" w:rsidRDefault="009D0B01">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3 – 2 marks  Basic</w:t>
            </w:r>
            <w:r>
              <w:rPr>
                <w:rFonts w:ascii="Arial" w:hAnsi="Arial" w:cs="Arial"/>
                <w:b/>
                <w:bCs/>
                <w:lang w:val="en-US"/>
              </w:rPr>
              <w:br/>
            </w:r>
            <w:r>
              <w:rPr>
                <w:rFonts w:ascii="Arial" w:hAnsi="Arial" w:cs="Arial"/>
                <w:lang w:val="en-US"/>
              </w:rPr>
              <w:t>Basic answer that demonstrates some relevant knowledge and understanding but lacks detail and may be muddled. There is little evidence of selection of material to address the question.</w:t>
            </w:r>
          </w:p>
        </w:tc>
      </w:tr>
      <w:tr w:rsidR="009D0B01">
        <w:tblPrEx>
          <w:tblCellMar>
            <w:top w:w="0" w:type="dxa"/>
            <w:bottom w:w="0" w:type="dxa"/>
          </w:tblCellMar>
        </w:tblPrEx>
        <w:tc>
          <w:tcPr>
            <w:tcW w:w="650" w:type="dxa"/>
            <w:tcBorders>
              <w:top w:val="nil"/>
              <w:left w:val="nil"/>
              <w:bottom w:val="nil"/>
              <w:right w:val="nil"/>
            </w:tcBorders>
            <w:vAlign w:val="center"/>
          </w:tcPr>
          <w:p w:rsidR="009D0B01" w:rsidRDefault="009D0B01">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8385" w:type="dxa"/>
            <w:tcBorders>
              <w:top w:val="single" w:sz="8" w:space="0" w:color="000000"/>
              <w:left w:val="single" w:sz="8" w:space="0" w:color="000000"/>
              <w:bottom w:val="single" w:sz="8" w:space="0" w:color="000000"/>
              <w:right w:val="single" w:sz="8" w:space="0" w:color="000000"/>
            </w:tcBorders>
          </w:tcPr>
          <w:p w:rsidR="009D0B01" w:rsidRDefault="009D0B01">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1 mark  Very brief / flawed or inappropriate</w:t>
            </w:r>
            <w:r>
              <w:rPr>
                <w:rFonts w:ascii="Arial" w:hAnsi="Arial" w:cs="Arial"/>
                <w:b/>
                <w:bCs/>
                <w:lang w:val="en-US"/>
              </w:rPr>
              <w:br/>
            </w:r>
            <w:r>
              <w:rPr>
                <w:rFonts w:ascii="Arial" w:hAnsi="Arial" w:cs="Arial"/>
                <w:lang w:val="en-US"/>
              </w:rPr>
              <w:t>Very brief or flawed answer demonstrating very little knowledge. Selection and presentation of information is largely or wholly inappropriate.</w:t>
            </w:r>
          </w:p>
        </w:tc>
      </w:tr>
      <w:tr w:rsidR="009D0B01">
        <w:tblPrEx>
          <w:tblCellMar>
            <w:top w:w="0" w:type="dxa"/>
            <w:bottom w:w="0" w:type="dxa"/>
          </w:tblCellMar>
        </w:tblPrEx>
        <w:tc>
          <w:tcPr>
            <w:tcW w:w="650" w:type="dxa"/>
            <w:tcBorders>
              <w:top w:val="nil"/>
              <w:left w:val="nil"/>
              <w:bottom w:val="nil"/>
              <w:right w:val="nil"/>
            </w:tcBorders>
            <w:vAlign w:val="center"/>
          </w:tcPr>
          <w:p w:rsidR="009D0B01" w:rsidRDefault="009D0B01">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8385" w:type="dxa"/>
            <w:tcBorders>
              <w:top w:val="single" w:sz="8" w:space="0" w:color="000000"/>
              <w:left w:val="single" w:sz="8" w:space="0" w:color="000000"/>
              <w:bottom w:val="single" w:sz="8" w:space="0" w:color="000000"/>
              <w:right w:val="single" w:sz="8" w:space="0" w:color="000000"/>
            </w:tcBorders>
          </w:tcPr>
          <w:p w:rsidR="009D0B01" w:rsidRDefault="009D0B01">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0 marks</w:t>
            </w:r>
            <w:r>
              <w:rPr>
                <w:rFonts w:ascii="Arial" w:hAnsi="Arial" w:cs="Arial"/>
                <w:b/>
                <w:bCs/>
                <w:lang w:val="en-US"/>
              </w:rPr>
              <w:br/>
            </w:r>
            <w:r>
              <w:rPr>
                <w:rFonts w:ascii="Arial" w:hAnsi="Arial" w:cs="Arial"/>
                <w:lang w:val="en-US"/>
              </w:rPr>
              <w:t>No creditworthy material.</w:t>
            </w:r>
          </w:p>
        </w:tc>
      </w:tr>
    </w:tbl>
    <w:p w:rsidR="009D0B01" w:rsidRDefault="009D0B01">
      <w:pPr>
        <w:widowControl w:val="0"/>
        <w:autoSpaceDE w:val="0"/>
        <w:autoSpaceDN w:val="0"/>
        <w:adjustRightInd w:val="0"/>
        <w:spacing w:after="0" w:line="240" w:lineRule="auto"/>
        <w:rPr>
          <w:rFonts w:ascii="Arial" w:hAnsi="Arial" w:cs="Arial"/>
          <w:sz w:val="16"/>
          <w:szCs w:val="16"/>
          <w:lang w:val="en-US"/>
        </w:rPr>
      </w:pPr>
    </w:p>
    <w:p w:rsidR="009D0B01" w:rsidRDefault="009D0B01">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br/>
      </w:r>
    </w:p>
    <w:p w:rsidR="009D0B01" w:rsidRDefault="009D0B01">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br/>
      </w:r>
      <w:r>
        <w:rPr>
          <w:rFonts w:ascii="Arial" w:hAnsi="Arial" w:cs="Arial"/>
          <w:sz w:val="16"/>
          <w:szCs w:val="16"/>
          <w:lang w:val="en-US"/>
        </w:rPr>
        <w:br/>
      </w:r>
    </w:p>
    <w:p w:rsidR="009D0B01" w:rsidRDefault="009D0B01">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M3.</w:t>
      </w:r>
      <w:r>
        <w:rPr>
          <w:rFonts w:ascii="Arial" w:hAnsi="Arial" w:cs="Arial"/>
          <w:lang w:val="en-US"/>
        </w:rPr>
        <w:t> </w:t>
      </w:r>
    </w:p>
    <w:p w:rsidR="009D0B01" w:rsidRDefault="009D0B01">
      <w:pPr>
        <w:widowControl w:val="0"/>
        <w:autoSpaceDE w:val="0"/>
        <w:autoSpaceDN w:val="0"/>
        <w:adjustRightInd w:val="0"/>
        <w:spacing w:after="0" w:line="240" w:lineRule="auto"/>
        <w:ind w:left="567" w:right="1134"/>
        <w:rPr>
          <w:rFonts w:ascii="Arial" w:hAnsi="Arial" w:cs="Arial"/>
          <w:b/>
          <w:bCs/>
          <w:lang w:val="en-US"/>
        </w:rPr>
      </w:pPr>
      <w:r>
        <w:rPr>
          <w:rFonts w:ascii="Arial" w:hAnsi="Arial" w:cs="Arial"/>
          <w:b/>
          <w:bCs/>
          <w:lang w:val="en-US"/>
        </w:rPr>
        <w:t>[AO2 = 6]</w:t>
      </w:r>
    </w:p>
    <w:p w:rsidR="009D0B01" w:rsidRDefault="009D0B01">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85" w:type="dxa"/>
        <w:tblLayout w:type="fixed"/>
        <w:tblCellMar>
          <w:left w:w="75" w:type="dxa"/>
          <w:right w:w="75" w:type="dxa"/>
        </w:tblCellMar>
        <w:tblLook w:val="0000" w:firstRow="0" w:lastRow="0" w:firstColumn="0" w:lastColumn="0" w:noHBand="0" w:noVBand="0"/>
      </w:tblPr>
      <w:tblGrid>
        <w:gridCol w:w="648"/>
        <w:gridCol w:w="793"/>
        <w:gridCol w:w="988"/>
        <w:gridCol w:w="7384"/>
      </w:tblGrid>
      <w:tr w:rsidR="009D0B01">
        <w:tblPrEx>
          <w:tblCellMar>
            <w:top w:w="0" w:type="dxa"/>
            <w:bottom w:w="0" w:type="dxa"/>
          </w:tblCellMar>
        </w:tblPrEx>
        <w:tc>
          <w:tcPr>
            <w:tcW w:w="648" w:type="dxa"/>
            <w:tcBorders>
              <w:top w:val="nil"/>
              <w:left w:val="nil"/>
              <w:bottom w:val="nil"/>
              <w:right w:val="nil"/>
            </w:tcBorders>
            <w:vAlign w:val="center"/>
          </w:tcPr>
          <w:p w:rsidR="009D0B01" w:rsidRDefault="009D0B01">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793" w:type="dxa"/>
            <w:tcBorders>
              <w:top w:val="single" w:sz="8" w:space="0" w:color="000000"/>
              <w:left w:val="single" w:sz="8" w:space="0" w:color="000000"/>
              <w:bottom w:val="single" w:sz="8" w:space="0" w:color="000000"/>
              <w:right w:val="single" w:sz="8" w:space="0" w:color="000000"/>
            </w:tcBorders>
            <w:vAlign w:val="center"/>
          </w:tcPr>
          <w:p w:rsidR="009D0B01" w:rsidRDefault="009D0B01">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Level</w:t>
            </w:r>
          </w:p>
        </w:tc>
        <w:tc>
          <w:tcPr>
            <w:tcW w:w="988" w:type="dxa"/>
            <w:tcBorders>
              <w:top w:val="single" w:sz="8" w:space="0" w:color="000000"/>
              <w:left w:val="single" w:sz="8" w:space="0" w:color="000000"/>
              <w:bottom w:val="single" w:sz="8" w:space="0" w:color="000000"/>
              <w:right w:val="single" w:sz="8" w:space="0" w:color="000000"/>
            </w:tcBorders>
            <w:vAlign w:val="center"/>
          </w:tcPr>
          <w:p w:rsidR="009D0B01" w:rsidRDefault="009D0B01">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Marks</w:t>
            </w:r>
          </w:p>
        </w:tc>
        <w:tc>
          <w:tcPr>
            <w:tcW w:w="7384" w:type="dxa"/>
            <w:tcBorders>
              <w:top w:val="single" w:sz="8" w:space="0" w:color="000000"/>
              <w:left w:val="single" w:sz="8" w:space="0" w:color="000000"/>
              <w:bottom w:val="single" w:sz="8" w:space="0" w:color="000000"/>
              <w:right w:val="single" w:sz="8" w:space="0" w:color="000000"/>
            </w:tcBorders>
            <w:vAlign w:val="center"/>
          </w:tcPr>
          <w:p w:rsidR="009D0B01" w:rsidRDefault="009D0B01">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Description</w:t>
            </w:r>
          </w:p>
        </w:tc>
      </w:tr>
      <w:tr w:rsidR="009D0B01">
        <w:tblPrEx>
          <w:tblCellMar>
            <w:top w:w="0" w:type="dxa"/>
            <w:bottom w:w="0" w:type="dxa"/>
          </w:tblCellMar>
        </w:tblPrEx>
        <w:tc>
          <w:tcPr>
            <w:tcW w:w="648" w:type="dxa"/>
            <w:tcBorders>
              <w:top w:val="nil"/>
              <w:left w:val="nil"/>
              <w:bottom w:val="nil"/>
              <w:right w:val="nil"/>
            </w:tcBorders>
            <w:vAlign w:val="center"/>
          </w:tcPr>
          <w:p w:rsidR="009D0B01" w:rsidRDefault="009D0B01">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793" w:type="dxa"/>
            <w:tcBorders>
              <w:top w:val="single" w:sz="8" w:space="0" w:color="000000"/>
              <w:left w:val="single" w:sz="8" w:space="0" w:color="000000"/>
              <w:bottom w:val="single" w:sz="8" w:space="0" w:color="000000"/>
              <w:right w:val="single" w:sz="8" w:space="0" w:color="000000"/>
            </w:tcBorders>
            <w:vAlign w:val="center"/>
          </w:tcPr>
          <w:p w:rsidR="009D0B01" w:rsidRDefault="009D0B01">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3</w:t>
            </w:r>
          </w:p>
        </w:tc>
        <w:tc>
          <w:tcPr>
            <w:tcW w:w="988" w:type="dxa"/>
            <w:tcBorders>
              <w:top w:val="single" w:sz="8" w:space="0" w:color="000000"/>
              <w:left w:val="single" w:sz="8" w:space="0" w:color="000000"/>
              <w:bottom w:val="single" w:sz="8" w:space="0" w:color="000000"/>
              <w:right w:val="single" w:sz="8" w:space="0" w:color="000000"/>
            </w:tcBorders>
            <w:vAlign w:val="center"/>
          </w:tcPr>
          <w:p w:rsidR="009D0B01" w:rsidRDefault="009D0B01">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5 – 6</w:t>
            </w:r>
          </w:p>
        </w:tc>
        <w:tc>
          <w:tcPr>
            <w:tcW w:w="7384" w:type="dxa"/>
            <w:tcBorders>
              <w:top w:val="single" w:sz="8" w:space="0" w:color="000000"/>
              <w:left w:val="single" w:sz="8" w:space="0" w:color="000000"/>
              <w:bottom w:val="single" w:sz="8" w:space="0" w:color="000000"/>
              <w:right w:val="single" w:sz="8" w:space="0" w:color="000000"/>
            </w:tcBorders>
            <w:vAlign w:val="center"/>
          </w:tcPr>
          <w:p w:rsidR="009D0B01" w:rsidRDefault="009D0B01">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Knowledge of social influence processes related to social change is clear and generally well detailed. Application to changing views of homosexuality is mostly clear and effective. The answer is generally coherent with appropriate use of terminology.</w:t>
            </w:r>
          </w:p>
        </w:tc>
      </w:tr>
      <w:tr w:rsidR="009D0B01">
        <w:tblPrEx>
          <w:tblCellMar>
            <w:top w:w="0" w:type="dxa"/>
            <w:bottom w:w="0" w:type="dxa"/>
          </w:tblCellMar>
        </w:tblPrEx>
        <w:tc>
          <w:tcPr>
            <w:tcW w:w="648" w:type="dxa"/>
            <w:tcBorders>
              <w:top w:val="nil"/>
              <w:left w:val="nil"/>
              <w:bottom w:val="nil"/>
              <w:right w:val="nil"/>
            </w:tcBorders>
            <w:vAlign w:val="center"/>
          </w:tcPr>
          <w:p w:rsidR="009D0B01" w:rsidRDefault="009D0B01">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793" w:type="dxa"/>
            <w:tcBorders>
              <w:top w:val="single" w:sz="8" w:space="0" w:color="000000"/>
              <w:left w:val="single" w:sz="8" w:space="0" w:color="000000"/>
              <w:bottom w:val="single" w:sz="8" w:space="0" w:color="000000"/>
              <w:right w:val="single" w:sz="8" w:space="0" w:color="000000"/>
            </w:tcBorders>
            <w:vAlign w:val="center"/>
          </w:tcPr>
          <w:p w:rsidR="009D0B01" w:rsidRDefault="009D0B01">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2</w:t>
            </w:r>
          </w:p>
        </w:tc>
        <w:tc>
          <w:tcPr>
            <w:tcW w:w="988" w:type="dxa"/>
            <w:tcBorders>
              <w:top w:val="single" w:sz="8" w:space="0" w:color="000000"/>
              <w:left w:val="single" w:sz="8" w:space="0" w:color="000000"/>
              <w:bottom w:val="single" w:sz="8" w:space="0" w:color="000000"/>
              <w:right w:val="single" w:sz="8" w:space="0" w:color="000000"/>
            </w:tcBorders>
            <w:vAlign w:val="center"/>
          </w:tcPr>
          <w:p w:rsidR="009D0B01" w:rsidRDefault="009D0B01">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3 – 4</w:t>
            </w:r>
          </w:p>
        </w:tc>
        <w:tc>
          <w:tcPr>
            <w:tcW w:w="7384" w:type="dxa"/>
            <w:tcBorders>
              <w:top w:val="single" w:sz="8" w:space="0" w:color="000000"/>
              <w:left w:val="single" w:sz="8" w:space="0" w:color="000000"/>
              <w:bottom w:val="single" w:sz="8" w:space="0" w:color="000000"/>
              <w:right w:val="single" w:sz="8" w:space="0" w:color="000000"/>
            </w:tcBorders>
            <w:vAlign w:val="center"/>
          </w:tcPr>
          <w:p w:rsidR="009D0B01" w:rsidRDefault="009D0B01">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Knowledge of social influence processes related to social change is evident. There is some effective application to changing views of homosexuality. The answer lacks clarity in places. Terminology is used appropriately on occasions.</w:t>
            </w:r>
          </w:p>
        </w:tc>
      </w:tr>
      <w:tr w:rsidR="009D0B01">
        <w:tblPrEx>
          <w:tblCellMar>
            <w:top w:w="0" w:type="dxa"/>
            <w:bottom w:w="0" w:type="dxa"/>
          </w:tblCellMar>
        </w:tblPrEx>
        <w:tc>
          <w:tcPr>
            <w:tcW w:w="648" w:type="dxa"/>
            <w:tcBorders>
              <w:top w:val="nil"/>
              <w:left w:val="nil"/>
              <w:bottom w:val="nil"/>
              <w:right w:val="nil"/>
            </w:tcBorders>
            <w:vAlign w:val="center"/>
          </w:tcPr>
          <w:p w:rsidR="009D0B01" w:rsidRDefault="009D0B01">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793" w:type="dxa"/>
            <w:tcBorders>
              <w:top w:val="single" w:sz="8" w:space="0" w:color="000000"/>
              <w:left w:val="single" w:sz="8" w:space="0" w:color="000000"/>
              <w:bottom w:val="single" w:sz="8" w:space="0" w:color="000000"/>
              <w:right w:val="single" w:sz="8" w:space="0" w:color="000000"/>
            </w:tcBorders>
            <w:vAlign w:val="center"/>
          </w:tcPr>
          <w:p w:rsidR="009D0B01" w:rsidRDefault="009D0B01">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w:t>
            </w:r>
          </w:p>
        </w:tc>
        <w:tc>
          <w:tcPr>
            <w:tcW w:w="988" w:type="dxa"/>
            <w:tcBorders>
              <w:top w:val="single" w:sz="8" w:space="0" w:color="000000"/>
              <w:left w:val="single" w:sz="8" w:space="0" w:color="000000"/>
              <w:bottom w:val="single" w:sz="8" w:space="0" w:color="000000"/>
              <w:right w:val="single" w:sz="8" w:space="0" w:color="000000"/>
            </w:tcBorders>
            <w:vAlign w:val="center"/>
          </w:tcPr>
          <w:p w:rsidR="009D0B01" w:rsidRDefault="009D0B01">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 – 2</w:t>
            </w:r>
          </w:p>
        </w:tc>
        <w:tc>
          <w:tcPr>
            <w:tcW w:w="7384" w:type="dxa"/>
            <w:tcBorders>
              <w:top w:val="single" w:sz="8" w:space="0" w:color="000000"/>
              <w:left w:val="single" w:sz="8" w:space="0" w:color="000000"/>
              <w:bottom w:val="single" w:sz="8" w:space="0" w:color="000000"/>
              <w:right w:val="single" w:sz="8" w:space="0" w:color="000000"/>
            </w:tcBorders>
            <w:vAlign w:val="center"/>
          </w:tcPr>
          <w:p w:rsidR="009D0B01" w:rsidRDefault="009D0B01">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Knowledge of social influence processes related to social change is limited. Application to changing views of homosexuality is either absent or inappropriate. The answer as a whole lacks clarity and has inaccuracies. Terminology is either absent or inappropriately used.</w:t>
            </w:r>
          </w:p>
        </w:tc>
      </w:tr>
      <w:tr w:rsidR="009D0B01">
        <w:tblPrEx>
          <w:tblCellMar>
            <w:top w:w="0" w:type="dxa"/>
            <w:bottom w:w="0" w:type="dxa"/>
          </w:tblCellMar>
        </w:tblPrEx>
        <w:tc>
          <w:tcPr>
            <w:tcW w:w="648" w:type="dxa"/>
            <w:tcBorders>
              <w:top w:val="nil"/>
              <w:left w:val="nil"/>
              <w:bottom w:val="nil"/>
              <w:right w:val="nil"/>
            </w:tcBorders>
            <w:vAlign w:val="center"/>
          </w:tcPr>
          <w:p w:rsidR="009D0B01" w:rsidRDefault="009D0B01">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793" w:type="dxa"/>
            <w:tcBorders>
              <w:top w:val="single" w:sz="8" w:space="0" w:color="000000"/>
              <w:left w:val="single" w:sz="8" w:space="0" w:color="000000"/>
              <w:bottom w:val="single" w:sz="8" w:space="0" w:color="000000"/>
              <w:right w:val="single" w:sz="8" w:space="0" w:color="000000"/>
            </w:tcBorders>
            <w:vAlign w:val="center"/>
          </w:tcPr>
          <w:p w:rsidR="009D0B01" w:rsidRDefault="009D0B01">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 </w:t>
            </w:r>
          </w:p>
        </w:tc>
        <w:tc>
          <w:tcPr>
            <w:tcW w:w="988" w:type="dxa"/>
            <w:tcBorders>
              <w:top w:val="single" w:sz="8" w:space="0" w:color="000000"/>
              <w:left w:val="single" w:sz="8" w:space="0" w:color="000000"/>
              <w:bottom w:val="single" w:sz="8" w:space="0" w:color="000000"/>
              <w:right w:val="single" w:sz="8" w:space="0" w:color="000000"/>
            </w:tcBorders>
            <w:vAlign w:val="center"/>
          </w:tcPr>
          <w:p w:rsidR="009D0B01" w:rsidRDefault="009D0B01">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0</w:t>
            </w:r>
          </w:p>
        </w:tc>
        <w:tc>
          <w:tcPr>
            <w:tcW w:w="7384" w:type="dxa"/>
            <w:tcBorders>
              <w:top w:val="single" w:sz="8" w:space="0" w:color="000000"/>
              <w:left w:val="single" w:sz="8" w:space="0" w:color="000000"/>
              <w:bottom w:val="single" w:sz="8" w:space="0" w:color="000000"/>
              <w:right w:val="single" w:sz="8" w:space="0" w:color="000000"/>
            </w:tcBorders>
            <w:vAlign w:val="center"/>
          </w:tcPr>
          <w:p w:rsidR="009D0B01" w:rsidRDefault="009D0B01">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No relevant content.</w:t>
            </w:r>
          </w:p>
        </w:tc>
      </w:tr>
    </w:tbl>
    <w:p w:rsidR="009D0B01" w:rsidRDefault="009D0B01">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t xml:space="preserve"> </w:t>
      </w:r>
      <w:r>
        <w:rPr>
          <w:rFonts w:ascii="Arial" w:hAnsi="Arial" w:cs="Arial"/>
          <w:sz w:val="16"/>
          <w:szCs w:val="16"/>
          <w:lang w:val="en-US"/>
        </w:rPr>
        <w:br/>
      </w:r>
      <w:r>
        <w:rPr>
          <w:rFonts w:ascii="Arial" w:hAnsi="Arial" w:cs="Arial"/>
          <w:sz w:val="16"/>
          <w:szCs w:val="16"/>
          <w:lang w:val="en-US"/>
        </w:rPr>
        <w:br/>
      </w:r>
    </w:p>
    <w:p w:rsidR="009D0B01" w:rsidRDefault="009D0B01">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b/>
          <w:bCs/>
          <w:lang w:val="en-US"/>
        </w:rPr>
        <w:t>Possible content</w:t>
      </w:r>
      <w:r>
        <w:rPr>
          <w:rFonts w:ascii="Arial" w:hAnsi="Arial" w:cs="Arial"/>
          <w:lang w:val="en-US"/>
        </w:rPr>
        <w:t>:</w:t>
      </w:r>
    </w:p>
    <w:p w:rsidR="009D0B01" w:rsidRDefault="009D0B01">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Application of social influence research to changing views of homosexuality from the following:</w:t>
      </w:r>
    </w:p>
    <w:p w:rsidR="009D0B01" w:rsidRDefault="009D0B01">
      <w:pPr>
        <w:widowControl w:val="0"/>
        <w:autoSpaceDE w:val="0"/>
        <w:autoSpaceDN w:val="0"/>
        <w:adjustRightInd w:val="0"/>
        <w:spacing w:before="240" w:after="0" w:line="240" w:lineRule="auto"/>
        <w:ind w:left="1134" w:right="1134" w:hanging="567"/>
        <w:rPr>
          <w:rFonts w:ascii="Arial" w:hAnsi="Arial" w:cs="Arial"/>
          <w:lang w:val="en-US"/>
        </w:rPr>
      </w:pPr>
      <w:r>
        <w:rPr>
          <w:rFonts w:ascii="Arial" w:hAnsi="Arial" w:cs="Arial"/>
          <w:lang w:val="en-US"/>
        </w:rPr>
        <w:t>•        factors affecting minority influence including consistency, commitment and flexibility</w:t>
      </w:r>
    </w:p>
    <w:p w:rsidR="009D0B01" w:rsidRDefault="009D0B01">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t>•        social change occurs when minority view, eg Gay Rights campaigners, challenges majority view and is eventually accepted as the majority</w:t>
      </w:r>
    </w:p>
    <w:p w:rsidR="009D0B01" w:rsidRDefault="009D0B01">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t>•        theory related to conformity such as informational social influence and / or internalisation</w:t>
      </w:r>
    </w:p>
    <w:p w:rsidR="009D0B01" w:rsidRDefault="009D0B01">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t>•        influence of obedience, eg changes to the laws making equal rights more of a social norm</w:t>
      </w:r>
    </w:p>
    <w:p w:rsidR="009D0B01" w:rsidRDefault="009D0B01">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t>•        credit other relevant points, eg influence of media, as long as they are rooted in sound psychology</w:t>
      </w:r>
    </w:p>
    <w:p w:rsidR="009D0B01" w:rsidRDefault="009D0B01">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t>•        can also credit theories linked to minority influence, eg social impact theory, snowball effect, social cryptoamnesia.</w:t>
      </w:r>
    </w:p>
    <w:p w:rsidR="009D0B01" w:rsidRDefault="009D0B01">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br/>
      </w:r>
    </w:p>
    <w:p w:rsidR="009D0B01" w:rsidRDefault="009D0B01">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br/>
      </w:r>
    </w:p>
    <w:p w:rsidR="009D0B01" w:rsidRDefault="009D0B01">
      <w:pPr>
        <w:widowControl w:val="0"/>
        <w:autoSpaceDE w:val="0"/>
        <w:autoSpaceDN w:val="0"/>
        <w:adjustRightInd w:val="0"/>
        <w:spacing w:after="0" w:line="240" w:lineRule="auto"/>
        <w:rPr>
          <w:rFonts w:ascii="Arial" w:hAnsi="Arial" w:cs="Arial"/>
          <w:lang w:val="en-US"/>
        </w:rPr>
      </w:pPr>
      <w:r>
        <w:rPr>
          <w:rFonts w:ascii="Arial" w:hAnsi="Arial" w:cs="Arial"/>
          <w:lang w:val="en-US"/>
        </w:rPr>
        <w:br w:type="page"/>
      </w:r>
    </w:p>
    <w:p w:rsidR="009D0B01" w:rsidRDefault="009D0B01">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t> </w:t>
      </w:r>
    </w:p>
    <w:p w:rsidR="009D0B01" w:rsidRDefault="009D0B01">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br/>
      </w:r>
    </w:p>
    <w:p w:rsidR="009D0B01" w:rsidRDefault="009D0B01">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E1.</w:t>
      </w:r>
      <w:r>
        <w:rPr>
          <w:rFonts w:ascii="Arial" w:hAnsi="Arial" w:cs="Arial"/>
          <w:lang w:val="en-US"/>
        </w:rPr>
        <w:t> </w:t>
      </w:r>
    </w:p>
    <w:p w:rsidR="009D0B01" w:rsidRDefault="009D0B01">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There were some extremely well informed answers to this question, with students demonstrating sound understanding of how minorities can bring about social change. Such answers made reference to minorities being consistent, flexible and non-dogmatic. They outlined the snowball effect and the impact of social crypto amnesia in the process. Weaker answers described research into minority influence (such as Moscovici or Clark) but without selecting aspects of the research relevant to social change. They gained some marks by showing that for a minority to bring about change it needed to be consistent etc.</w:t>
      </w:r>
    </w:p>
    <w:p w:rsidR="009D0B01" w:rsidRDefault="009D0B01">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p>
    <w:p w:rsidR="009D0B01" w:rsidRDefault="009D0B01">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9D0B01" w:rsidRDefault="009D0B01">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E2.</w:t>
      </w:r>
      <w:r>
        <w:rPr>
          <w:rFonts w:ascii="Arial" w:hAnsi="Arial" w:cs="Arial"/>
          <w:lang w:val="en-US"/>
        </w:rPr>
        <w:t> </w:t>
      </w:r>
    </w:p>
    <w:p w:rsidR="009D0B01" w:rsidRDefault="009D0B01">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In spite of the fact that this question has been asked in several previous papers, students still appear to struggle with the concept of social change. They need to understand that the scope of the change is not merely by a few individuals but by a whole society. However, some students produced excellent answers, by considering the role of a consistent minority, who are able, through challenging their views, to persuade the majority to accept this new point of view. Over time and through the snowball effect, the minority gradually becomes the majority and at this point the change occurs.</w:t>
      </w:r>
    </w:p>
    <w:p w:rsidR="009D0B01" w:rsidRDefault="009D0B01">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Unfortunately, far too many students saw the words “social influence” and assumed it was an invitation to write about Asch or Milgram.</w:t>
      </w:r>
    </w:p>
    <w:p w:rsidR="009D0B01" w:rsidRDefault="009D0B01">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p>
    <w:p w:rsidR="009D0B01" w:rsidRDefault="009D0B01">
      <w:pPr>
        <w:widowControl w:val="0"/>
        <w:autoSpaceDE w:val="0"/>
        <w:autoSpaceDN w:val="0"/>
        <w:adjustRightInd w:val="0"/>
        <w:spacing w:before="240" w:after="0" w:line="240" w:lineRule="auto"/>
        <w:ind w:left="567" w:right="1134"/>
      </w:pPr>
      <w:r>
        <w:rPr>
          <w:rFonts w:ascii="Arial" w:hAnsi="Arial" w:cs="Arial"/>
          <w:lang w:val="en-US"/>
        </w:rPr>
        <w:br/>
      </w:r>
    </w:p>
    <w:sectPr w:rsidR="009D0B01">
      <w:headerReference w:type="default" r:id="rId7"/>
      <w:footerReference w:type="default" r:id="rId8"/>
      <w:pgSz w:w="11907" w:h="16839"/>
      <w:pgMar w:top="1134" w:right="567" w:bottom="1134" w:left="1417"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13F8" w:rsidRDefault="008113F8">
      <w:pPr>
        <w:spacing w:after="0" w:line="240" w:lineRule="auto"/>
      </w:pPr>
      <w:r>
        <w:separator/>
      </w:r>
    </w:p>
  </w:endnote>
  <w:endnote w:type="continuationSeparator" w:id="0">
    <w:p w:rsidR="008113F8" w:rsidRDefault="008113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0B01" w:rsidRDefault="009D0B01">
    <w:pPr>
      <w:framePr w:wrap="auto" w:vAnchor="page" w:hAnchor="page" w:x="5630" w:y="15890"/>
      <w:widowControl w:val="0"/>
      <w:autoSpaceDE w:val="0"/>
      <w:autoSpaceDN w:val="0"/>
      <w:adjustRightInd w:val="0"/>
      <w:spacing w:after="0" w:line="240" w:lineRule="auto"/>
      <w:rPr>
        <w:rFonts w:ascii="Arial" w:hAnsi="Arial" w:cs="Arial"/>
        <w:sz w:val="24"/>
        <w:szCs w:val="24"/>
        <w:lang w:val="en-US"/>
      </w:rPr>
    </w:pPr>
    <w:r>
      <w:rPr>
        <w:rFonts w:ascii="Arial" w:hAnsi="Arial" w:cs="Arial"/>
        <w:sz w:val="24"/>
        <w:szCs w:val="24"/>
        <w:lang w:val="en-US"/>
      </w:rPr>
      <w:t xml:space="preserve">Page </w:t>
    </w:r>
    <w:r>
      <w:rPr>
        <w:rFonts w:ascii="Arial" w:hAnsi="Arial" w:cs="Arial"/>
        <w:sz w:val="24"/>
        <w:szCs w:val="24"/>
        <w:lang w:val="en-US"/>
      </w:rPr>
      <w:fldChar w:fldCharType="begin"/>
    </w:r>
    <w:r>
      <w:rPr>
        <w:rFonts w:ascii="Arial" w:hAnsi="Arial" w:cs="Arial"/>
        <w:sz w:val="24"/>
        <w:szCs w:val="24"/>
        <w:lang w:val="en-US"/>
      </w:rPr>
      <w:instrText>PAGE</w:instrText>
    </w:r>
    <w:r>
      <w:rPr>
        <w:rFonts w:ascii="Arial" w:hAnsi="Arial" w:cs="Arial"/>
        <w:sz w:val="24"/>
        <w:szCs w:val="24"/>
        <w:lang w:val="en-US"/>
      </w:rPr>
      <w:fldChar w:fldCharType="separate"/>
    </w:r>
    <w:r w:rsidR="008B6D46">
      <w:rPr>
        <w:rFonts w:ascii="Arial" w:hAnsi="Arial" w:cs="Arial"/>
        <w:noProof/>
        <w:sz w:val="24"/>
        <w:szCs w:val="24"/>
        <w:lang w:val="en-US"/>
      </w:rPr>
      <w:t>1</w:t>
    </w:r>
    <w:r>
      <w:rPr>
        <w:rFonts w:ascii="Arial" w:hAnsi="Arial" w:cs="Arial"/>
        <w:sz w:val="24"/>
        <w:szCs w:val="24"/>
        <w:lang w:val="en-US"/>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13F8" w:rsidRDefault="008113F8">
      <w:pPr>
        <w:spacing w:after="0" w:line="240" w:lineRule="auto"/>
      </w:pPr>
      <w:r>
        <w:separator/>
      </w:r>
    </w:p>
  </w:footnote>
  <w:footnote w:type="continuationSeparator" w:id="0">
    <w:p w:rsidR="008113F8" w:rsidRDefault="008113F8">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0B01" w:rsidRDefault="009D0B01">
    <w:pPr>
      <w:widowControl w:val="0"/>
      <w:autoSpaceDE w:val="0"/>
      <w:autoSpaceDN w:val="0"/>
      <w:adjustRightInd w:val="0"/>
      <w:spacing w:before="100" w:after="100" w:line="240" w:lineRule="auto"/>
      <w:jc w:val="right"/>
      <w:rPr>
        <w:rFonts w:ascii="Arial" w:hAnsi="Arial" w:cs="Arial"/>
        <w:color w:val="A6A6A6"/>
        <w:sz w:val="20"/>
        <w:szCs w:val="20"/>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45D8"/>
    <w:rsid w:val="001A31B0"/>
    <w:rsid w:val="008113F8"/>
    <w:rsid w:val="008B6D46"/>
    <w:rsid w:val="009D0B01"/>
    <w:rsid w:val="009D45D8"/>
    <w:rsid w:val="00BB0F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31B0"/>
    <w:pPr>
      <w:tabs>
        <w:tab w:val="center" w:pos="4513"/>
        <w:tab w:val="right" w:pos="9026"/>
      </w:tabs>
    </w:pPr>
  </w:style>
  <w:style w:type="character" w:customStyle="1" w:styleId="HeaderChar">
    <w:name w:val="Header Char"/>
    <w:basedOn w:val="DefaultParagraphFont"/>
    <w:link w:val="Header"/>
    <w:uiPriority w:val="99"/>
    <w:locked/>
    <w:rsid w:val="001A31B0"/>
    <w:rPr>
      <w:rFonts w:cs="Times New Roman"/>
    </w:rPr>
  </w:style>
  <w:style w:type="paragraph" w:styleId="Footer">
    <w:name w:val="footer"/>
    <w:basedOn w:val="Normal"/>
    <w:link w:val="FooterChar"/>
    <w:uiPriority w:val="99"/>
    <w:unhideWhenUsed/>
    <w:rsid w:val="001A31B0"/>
    <w:pPr>
      <w:tabs>
        <w:tab w:val="center" w:pos="4513"/>
        <w:tab w:val="right" w:pos="9026"/>
      </w:tabs>
    </w:pPr>
  </w:style>
  <w:style w:type="character" w:customStyle="1" w:styleId="FooterChar">
    <w:name w:val="Footer Char"/>
    <w:basedOn w:val="DefaultParagraphFont"/>
    <w:link w:val="Footer"/>
    <w:uiPriority w:val="99"/>
    <w:locked/>
    <w:rsid w:val="001A31B0"/>
    <w:rPr>
      <w:rFonts w:cs="Times New Roman"/>
    </w:rPr>
  </w:style>
  <w:style w:type="paragraph" w:styleId="BalloonText">
    <w:name w:val="Balloon Text"/>
    <w:basedOn w:val="Normal"/>
    <w:link w:val="BalloonTextChar"/>
    <w:uiPriority w:val="99"/>
    <w:semiHidden/>
    <w:unhideWhenUsed/>
    <w:rsid w:val="001A31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A31B0"/>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31B0"/>
    <w:pPr>
      <w:tabs>
        <w:tab w:val="center" w:pos="4513"/>
        <w:tab w:val="right" w:pos="9026"/>
      </w:tabs>
    </w:pPr>
  </w:style>
  <w:style w:type="character" w:customStyle="1" w:styleId="HeaderChar">
    <w:name w:val="Header Char"/>
    <w:basedOn w:val="DefaultParagraphFont"/>
    <w:link w:val="Header"/>
    <w:uiPriority w:val="99"/>
    <w:locked/>
    <w:rsid w:val="001A31B0"/>
    <w:rPr>
      <w:rFonts w:cs="Times New Roman"/>
    </w:rPr>
  </w:style>
  <w:style w:type="paragraph" w:styleId="Footer">
    <w:name w:val="footer"/>
    <w:basedOn w:val="Normal"/>
    <w:link w:val="FooterChar"/>
    <w:uiPriority w:val="99"/>
    <w:unhideWhenUsed/>
    <w:rsid w:val="001A31B0"/>
    <w:pPr>
      <w:tabs>
        <w:tab w:val="center" w:pos="4513"/>
        <w:tab w:val="right" w:pos="9026"/>
      </w:tabs>
    </w:pPr>
  </w:style>
  <w:style w:type="character" w:customStyle="1" w:styleId="FooterChar">
    <w:name w:val="Footer Char"/>
    <w:basedOn w:val="DefaultParagraphFont"/>
    <w:link w:val="Footer"/>
    <w:uiPriority w:val="99"/>
    <w:locked/>
    <w:rsid w:val="001A31B0"/>
    <w:rPr>
      <w:rFonts w:cs="Times New Roman"/>
    </w:rPr>
  </w:style>
  <w:style w:type="paragraph" w:styleId="BalloonText">
    <w:name w:val="Balloon Text"/>
    <w:basedOn w:val="Normal"/>
    <w:link w:val="BalloonTextChar"/>
    <w:uiPriority w:val="99"/>
    <w:semiHidden/>
    <w:unhideWhenUsed/>
    <w:rsid w:val="001A31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A31B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1828</Words>
  <Characters>10425</Characters>
  <Application>Microsoft Macintosh Word</Application>
  <DocSecurity>0</DocSecurity>
  <Lines>86</Lines>
  <Paragraphs>24</Paragraphs>
  <ScaleCrop>false</ScaleCrop>
  <Company>Park High School</Company>
  <LinksUpToDate>false</LinksUpToDate>
  <CharactersWithSpaces>12229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Backory, Vanessa</dc:creator>
  <cp:keywords/>
  <dc:description/>
  <cp:lastModifiedBy>Steve Hickman</cp:lastModifiedBy>
  <cp:revision>2</cp:revision>
  <cp:lastPrinted>2015-11-17T12:15:00Z</cp:lastPrinted>
  <dcterms:created xsi:type="dcterms:W3CDTF">2016-05-09T19:15:00Z</dcterms:created>
  <dcterms:modified xsi:type="dcterms:W3CDTF">2016-05-09T19:15:00Z</dcterms:modified>
</cp:coreProperties>
</file>