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E6A" w:rsidRPr="006849AC" w:rsidRDefault="006849AC" w:rsidP="006849AC">
      <w:pPr>
        <w:widowControl w:val="0"/>
        <w:autoSpaceDE w:val="0"/>
        <w:autoSpaceDN w:val="0"/>
        <w:adjustRightInd w:val="0"/>
        <w:spacing w:after="0" w:line="240" w:lineRule="auto"/>
        <w:jc w:val="center"/>
        <w:rPr>
          <w:rFonts w:ascii="Arial" w:hAnsi="Arial" w:cs="Arial"/>
          <w:b/>
          <w:szCs w:val="16"/>
          <w:u w:val="single"/>
          <w:lang w:val="en-US"/>
        </w:rPr>
      </w:pPr>
      <w:bookmarkStart w:id="0" w:name="_GoBack"/>
      <w:bookmarkEnd w:id="0"/>
      <w:r w:rsidRPr="006849AC">
        <w:rPr>
          <w:rFonts w:ascii="Arial" w:hAnsi="Arial" w:cs="Arial"/>
          <w:b/>
          <w:szCs w:val="16"/>
          <w:u w:val="single"/>
          <w:lang w:val="en-US"/>
        </w:rPr>
        <w:t>LTM memory questions</w:t>
      </w:r>
      <w:r w:rsidR="00070E6A" w:rsidRPr="006849AC">
        <w:rPr>
          <w:rFonts w:ascii="Arial" w:hAnsi="Arial" w:cs="Arial"/>
          <w:b/>
          <w:szCs w:val="16"/>
          <w:u w:val="single"/>
          <w:lang w:val="en-US"/>
        </w:rPr>
        <w:br/>
      </w:r>
    </w:p>
    <w:p w:rsidR="00070E6A" w:rsidRDefault="00070E6A">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Q1.</w:t>
      </w:r>
      <w:r>
        <w:rPr>
          <w:rFonts w:ascii="Arial" w:hAnsi="Arial" w:cs="Arial"/>
          <w:lang w:val="en-US"/>
        </w:rPr>
        <w:t> </w:t>
      </w:r>
    </w:p>
    <w:p w:rsidR="00070E6A" w:rsidRDefault="00070E6A">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 xml:space="preserve">Distinguish between </w:t>
      </w:r>
      <w:r>
        <w:rPr>
          <w:rFonts w:ascii="Arial" w:hAnsi="Arial" w:cs="Arial"/>
          <w:i/>
          <w:iCs/>
          <w:lang w:val="en-US"/>
        </w:rPr>
        <w:t>procedural</w:t>
      </w:r>
      <w:r>
        <w:rPr>
          <w:rFonts w:ascii="Arial" w:hAnsi="Arial" w:cs="Arial"/>
          <w:lang w:val="en-US"/>
        </w:rPr>
        <w:t xml:space="preserve"> memory and </w:t>
      </w:r>
      <w:r>
        <w:rPr>
          <w:rFonts w:ascii="Arial" w:hAnsi="Arial" w:cs="Arial"/>
          <w:i/>
          <w:iCs/>
          <w:lang w:val="en-US"/>
        </w:rPr>
        <w:t>semantic</w:t>
      </w:r>
      <w:r>
        <w:rPr>
          <w:rFonts w:ascii="Arial" w:hAnsi="Arial" w:cs="Arial"/>
          <w:lang w:val="en-US"/>
        </w:rPr>
        <w:t xml:space="preserve"> memory.</w:t>
      </w:r>
    </w:p>
    <w:p w:rsidR="00070E6A" w:rsidRDefault="00070E6A">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3 marks)</w:t>
      </w:r>
    </w:p>
    <w:p w:rsidR="00070E6A" w:rsidRDefault="00070E6A">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070E6A" w:rsidRDefault="00070E6A">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r>
        <w:rPr>
          <w:rFonts w:ascii="Arial" w:hAnsi="Arial" w:cs="Arial"/>
          <w:b/>
          <w:bCs/>
          <w:sz w:val="20"/>
          <w:szCs w:val="20"/>
          <w:lang w:val="en-US"/>
        </w:rPr>
        <w:br/>
      </w:r>
    </w:p>
    <w:p w:rsidR="00070E6A" w:rsidRDefault="00070E6A">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Q2.</w:t>
      </w:r>
      <w:r>
        <w:rPr>
          <w:rFonts w:ascii="Arial" w:hAnsi="Arial" w:cs="Arial"/>
          <w:lang w:val="en-US"/>
        </w:rPr>
        <w:t> </w:t>
      </w:r>
    </w:p>
    <w:p w:rsidR="00070E6A" w:rsidRDefault="00070E6A">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 xml:space="preserve">Give </w:t>
      </w:r>
      <w:r>
        <w:rPr>
          <w:rFonts w:ascii="Arial" w:hAnsi="Arial" w:cs="Arial"/>
          <w:b/>
          <w:bCs/>
          <w:lang w:val="en-US"/>
        </w:rPr>
        <w:t>one</w:t>
      </w:r>
      <w:r>
        <w:rPr>
          <w:rFonts w:ascii="Arial" w:hAnsi="Arial" w:cs="Arial"/>
          <w:lang w:val="en-US"/>
        </w:rPr>
        <w:t xml:space="preserve"> example of a semantic memory and </w:t>
      </w:r>
      <w:r>
        <w:rPr>
          <w:rFonts w:ascii="Arial" w:hAnsi="Arial" w:cs="Arial"/>
          <w:b/>
          <w:bCs/>
          <w:lang w:val="en-US"/>
        </w:rPr>
        <w:t>one</w:t>
      </w:r>
      <w:r>
        <w:rPr>
          <w:rFonts w:ascii="Arial" w:hAnsi="Arial" w:cs="Arial"/>
          <w:lang w:val="en-US"/>
        </w:rPr>
        <w:t xml:space="preserve"> example of an episodic memory. Briefly explain </w:t>
      </w:r>
      <w:r>
        <w:rPr>
          <w:rFonts w:ascii="Arial" w:hAnsi="Arial" w:cs="Arial"/>
          <w:b/>
          <w:bCs/>
          <w:lang w:val="en-US"/>
        </w:rPr>
        <w:t>one</w:t>
      </w:r>
      <w:r>
        <w:rPr>
          <w:rFonts w:ascii="Arial" w:hAnsi="Arial" w:cs="Arial"/>
          <w:lang w:val="en-US"/>
        </w:rPr>
        <w:t xml:space="preserve"> difference between these types of long-term memory.</w:t>
      </w:r>
    </w:p>
    <w:p w:rsidR="00070E6A" w:rsidRDefault="00070E6A">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3 marks)</w:t>
      </w:r>
    </w:p>
    <w:p w:rsidR="00070E6A" w:rsidRDefault="00070E6A">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070E6A" w:rsidRDefault="00070E6A">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r>
        <w:rPr>
          <w:rFonts w:ascii="Arial" w:hAnsi="Arial" w:cs="Arial"/>
          <w:b/>
          <w:bCs/>
          <w:sz w:val="20"/>
          <w:szCs w:val="20"/>
          <w:lang w:val="en-US"/>
        </w:rPr>
        <w:br/>
      </w:r>
    </w:p>
    <w:p w:rsidR="00070E6A" w:rsidRDefault="00070E6A">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Q3.</w:t>
      </w:r>
      <w:r>
        <w:rPr>
          <w:rFonts w:ascii="Arial" w:hAnsi="Arial" w:cs="Arial"/>
          <w:lang w:val="en-US"/>
        </w:rPr>
        <w:t> </w:t>
      </w:r>
    </w:p>
    <w:p w:rsidR="00070E6A" w:rsidRDefault="00070E6A">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Psychologists have identified differences between episodic memory, procedural memory and semantic memory.</w:t>
      </w:r>
    </w:p>
    <w:p w:rsidR="00070E6A" w:rsidRDefault="00070E6A">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 xml:space="preserve">Define </w:t>
      </w:r>
      <w:r>
        <w:rPr>
          <w:rFonts w:ascii="Arial" w:hAnsi="Arial" w:cs="Arial"/>
          <w:b/>
          <w:bCs/>
          <w:lang w:val="en-US"/>
        </w:rPr>
        <w:t>two</w:t>
      </w:r>
      <w:r>
        <w:rPr>
          <w:rFonts w:ascii="Arial" w:hAnsi="Arial" w:cs="Arial"/>
          <w:lang w:val="en-US"/>
        </w:rPr>
        <w:t xml:space="preserve"> of these types of memory. Briefly explain </w:t>
      </w:r>
      <w:r>
        <w:rPr>
          <w:rFonts w:ascii="Arial" w:hAnsi="Arial" w:cs="Arial"/>
          <w:b/>
          <w:bCs/>
          <w:lang w:val="en-US"/>
        </w:rPr>
        <w:t>one</w:t>
      </w:r>
      <w:r>
        <w:rPr>
          <w:rFonts w:ascii="Arial" w:hAnsi="Arial" w:cs="Arial"/>
          <w:lang w:val="en-US"/>
        </w:rPr>
        <w:t xml:space="preserve"> difference between the two types of memory that you have defined.</w:t>
      </w:r>
    </w:p>
    <w:p w:rsidR="00070E6A" w:rsidRDefault="00070E6A">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3 marks)</w:t>
      </w:r>
    </w:p>
    <w:p w:rsidR="00070E6A" w:rsidRDefault="00070E6A">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070E6A" w:rsidRDefault="00070E6A">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r>
        <w:rPr>
          <w:rFonts w:ascii="Arial" w:hAnsi="Arial" w:cs="Arial"/>
          <w:b/>
          <w:bCs/>
          <w:sz w:val="20"/>
          <w:szCs w:val="20"/>
          <w:lang w:val="en-US"/>
        </w:rPr>
        <w:br/>
      </w:r>
    </w:p>
    <w:p w:rsidR="00070E6A" w:rsidRDefault="00070E6A">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Q4.</w:t>
      </w:r>
      <w:r>
        <w:rPr>
          <w:rFonts w:ascii="Arial" w:hAnsi="Arial" w:cs="Arial"/>
          <w:lang w:val="en-US"/>
        </w:rPr>
        <w:t> </w:t>
      </w:r>
    </w:p>
    <w:p w:rsidR="00070E6A" w:rsidRDefault="00070E6A">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 xml:space="preserve">Complete the following statement about long-term memory. Shade </w:t>
      </w:r>
      <w:r>
        <w:rPr>
          <w:rFonts w:ascii="Arial" w:hAnsi="Arial" w:cs="Arial"/>
          <w:b/>
          <w:bCs/>
          <w:lang w:val="en-US"/>
        </w:rPr>
        <w:t>one</w:t>
      </w:r>
      <w:r>
        <w:rPr>
          <w:rFonts w:ascii="Arial" w:hAnsi="Arial" w:cs="Arial"/>
          <w:lang w:val="en-US"/>
        </w:rPr>
        <w:t xml:space="preserve"> box only.</w:t>
      </w:r>
    </w:p>
    <w:p w:rsidR="00070E6A" w:rsidRDefault="00070E6A">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Information not available for conscious inspection refers to:</w:t>
      </w:r>
    </w:p>
    <w:p w:rsidR="00070E6A" w:rsidRDefault="00070E6A">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85" w:type="dxa"/>
        <w:tblLayout w:type="fixed"/>
        <w:tblCellMar>
          <w:left w:w="75" w:type="dxa"/>
          <w:right w:w="75" w:type="dxa"/>
        </w:tblCellMar>
        <w:tblLook w:val="0000" w:firstRow="0" w:lastRow="0" w:firstColumn="0" w:lastColumn="0" w:noHBand="0" w:noVBand="0"/>
      </w:tblPr>
      <w:tblGrid>
        <w:gridCol w:w="650"/>
        <w:gridCol w:w="390"/>
        <w:gridCol w:w="5385"/>
        <w:gridCol w:w="690"/>
      </w:tblGrid>
      <w:tr w:rsidR="00070E6A">
        <w:tblPrEx>
          <w:tblCellMar>
            <w:top w:w="0" w:type="dxa"/>
            <w:bottom w:w="0" w:type="dxa"/>
          </w:tblCellMar>
        </w:tblPrEx>
        <w:tc>
          <w:tcPr>
            <w:tcW w:w="650" w:type="dxa"/>
            <w:tcBorders>
              <w:top w:val="nil"/>
              <w:left w:val="nil"/>
              <w:bottom w:val="nil"/>
              <w:right w:val="nil"/>
            </w:tcBorders>
            <w:vAlign w:val="center"/>
          </w:tcPr>
          <w:p w:rsidR="00070E6A" w:rsidRDefault="00070E6A">
            <w:pPr>
              <w:widowControl w:val="0"/>
              <w:autoSpaceDE w:val="0"/>
              <w:autoSpaceDN w:val="0"/>
              <w:adjustRightInd w:val="0"/>
              <w:spacing w:after="0" w:line="240" w:lineRule="auto"/>
              <w:ind w:left="240"/>
              <w:rPr>
                <w:rFonts w:ascii="Arial" w:hAnsi="Arial" w:cs="Arial"/>
                <w:sz w:val="16"/>
                <w:szCs w:val="16"/>
                <w:lang w:val="en-US"/>
              </w:rPr>
            </w:pPr>
            <w:r>
              <w:rPr>
                <w:rFonts w:ascii="Arial" w:hAnsi="Arial" w:cs="Arial"/>
                <w:sz w:val="16"/>
                <w:szCs w:val="16"/>
                <w:lang w:val="en-US"/>
              </w:rPr>
              <w:t> </w:t>
            </w:r>
          </w:p>
        </w:tc>
        <w:tc>
          <w:tcPr>
            <w:tcW w:w="390" w:type="dxa"/>
            <w:tcBorders>
              <w:top w:val="nil"/>
              <w:left w:val="nil"/>
              <w:bottom w:val="nil"/>
              <w:right w:val="nil"/>
            </w:tcBorders>
            <w:vAlign w:val="center"/>
          </w:tcPr>
          <w:p w:rsidR="00070E6A" w:rsidRDefault="00070E6A">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A</w:t>
            </w:r>
          </w:p>
        </w:tc>
        <w:tc>
          <w:tcPr>
            <w:tcW w:w="5385" w:type="dxa"/>
            <w:tcBorders>
              <w:top w:val="nil"/>
              <w:left w:val="nil"/>
              <w:bottom w:val="nil"/>
              <w:right w:val="nil"/>
            </w:tcBorders>
            <w:vAlign w:val="center"/>
          </w:tcPr>
          <w:p w:rsidR="00070E6A" w:rsidRDefault="00070E6A">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Episodic memory</w:t>
            </w:r>
          </w:p>
        </w:tc>
        <w:tc>
          <w:tcPr>
            <w:tcW w:w="690" w:type="dxa"/>
            <w:tcBorders>
              <w:top w:val="nil"/>
              <w:left w:val="nil"/>
              <w:bottom w:val="nil"/>
              <w:right w:val="nil"/>
            </w:tcBorders>
            <w:vAlign w:val="center"/>
          </w:tcPr>
          <w:p w:rsidR="00070E6A" w:rsidRDefault="00070E6A">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 </w:t>
            </w:r>
            <w:r w:rsidR="003756F5">
              <w:rPr>
                <w:rFonts w:ascii="Arial" w:hAnsi="Arial" w:cs="Arial"/>
                <w:noProof/>
                <w:lang w:val="en-US" w:eastAsia="en-US"/>
              </w:rPr>
              <w:drawing>
                <wp:inline distT="0" distB="0" distL="0" distR="0">
                  <wp:extent cx="292100" cy="190500"/>
                  <wp:effectExtent l="0" t="0" r="1270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2100" cy="190500"/>
                          </a:xfrm>
                          <a:prstGeom prst="rect">
                            <a:avLst/>
                          </a:prstGeom>
                          <a:noFill/>
                          <a:ln>
                            <a:noFill/>
                          </a:ln>
                        </pic:spPr>
                      </pic:pic>
                    </a:graphicData>
                  </a:graphic>
                </wp:inline>
              </w:drawing>
            </w:r>
          </w:p>
        </w:tc>
      </w:tr>
      <w:tr w:rsidR="00070E6A">
        <w:tblPrEx>
          <w:tblCellMar>
            <w:top w:w="0" w:type="dxa"/>
            <w:bottom w:w="0" w:type="dxa"/>
          </w:tblCellMar>
        </w:tblPrEx>
        <w:tc>
          <w:tcPr>
            <w:tcW w:w="650" w:type="dxa"/>
            <w:tcBorders>
              <w:top w:val="nil"/>
              <w:left w:val="nil"/>
              <w:bottom w:val="nil"/>
              <w:right w:val="nil"/>
            </w:tcBorders>
            <w:vAlign w:val="center"/>
          </w:tcPr>
          <w:p w:rsidR="00070E6A" w:rsidRDefault="00070E6A">
            <w:pPr>
              <w:widowControl w:val="0"/>
              <w:autoSpaceDE w:val="0"/>
              <w:autoSpaceDN w:val="0"/>
              <w:adjustRightInd w:val="0"/>
              <w:spacing w:after="0" w:line="240" w:lineRule="auto"/>
              <w:ind w:left="240"/>
              <w:rPr>
                <w:rFonts w:ascii="Arial" w:hAnsi="Arial" w:cs="Arial"/>
                <w:sz w:val="16"/>
                <w:szCs w:val="16"/>
                <w:lang w:val="en-US"/>
              </w:rPr>
            </w:pPr>
            <w:r>
              <w:rPr>
                <w:rFonts w:ascii="Arial" w:hAnsi="Arial" w:cs="Arial"/>
                <w:sz w:val="16"/>
                <w:szCs w:val="16"/>
                <w:lang w:val="en-US"/>
              </w:rPr>
              <w:t> </w:t>
            </w:r>
          </w:p>
        </w:tc>
        <w:tc>
          <w:tcPr>
            <w:tcW w:w="390" w:type="dxa"/>
            <w:tcBorders>
              <w:top w:val="nil"/>
              <w:left w:val="nil"/>
              <w:bottom w:val="nil"/>
              <w:right w:val="nil"/>
            </w:tcBorders>
            <w:vAlign w:val="center"/>
          </w:tcPr>
          <w:p w:rsidR="00070E6A" w:rsidRDefault="00070E6A">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B</w:t>
            </w:r>
          </w:p>
        </w:tc>
        <w:tc>
          <w:tcPr>
            <w:tcW w:w="5385" w:type="dxa"/>
            <w:tcBorders>
              <w:top w:val="nil"/>
              <w:left w:val="nil"/>
              <w:bottom w:val="nil"/>
              <w:right w:val="nil"/>
            </w:tcBorders>
            <w:vAlign w:val="center"/>
          </w:tcPr>
          <w:p w:rsidR="00070E6A" w:rsidRDefault="00070E6A">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Procedural memory</w:t>
            </w:r>
          </w:p>
        </w:tc>
        <w:tc>
          <w:tcPr>
            <w:tcW w:w="690" w:type="dxa"/>
            <w:tcBorders>
              <w:top w:val="nil"/>
              <w:left w:val="nil"/>
              <w:bottom w:val="nil"/>
              <w:right w:val="nil"/>
            </w:tcBorders>
            <w:vAlign w:val="center"/>
          </w:tcPr>
          <w:p w:rsidR="00070E6A" w:rsidRDefault="00070E6A">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 </w:t>
            </w:r>
            <w:r w:rsidR="003756F5">
              <w:rPr>
                <w:rFonts w:ascii="Arial" w:hAnsi="Arial" w:cs="Arial"/>
                <w:noProof/>
                <w:lang w:val="en-US" w:eastAsia="en-US"/>
              </w:rPr>
              <w:drawing>
                <wp:inline distT="0" distB="0" distL="0" distR="0">
                  <wp:extent cx="292100" cy="190500"/>
                  <wp:effectExtent l="0" t="0" r="12700" b="127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2100" cy="190500"/>
                          </a:xfrm>
                          <a:prstGeom prst="rect">
                            <a:avLst/>
                          </a:prstGeom>
                          <a:noFill/>
                          <a:ln>
                            <a:noFill/>
                          </a:ln>
                        </pic:spPr>
                      </pic:pic>
                    </a:graphicData>
                  </a:graphic>
                </wp:inline>
              </w:drawing>
            </w:r>
          </w:p>
        </w:tc>
      </w:tr>
      <w:tr w:rsidR="00070E6A">
        <w:tblPrEx>
          <w:tblCellMar>
            <w:top w:w="0" w:type="dxa"/>
            <w:bottom w:w="0" w:type="dxa"/>
          </w:tblCellMar>
        </w:tblPrEx>
        <w:tc>
          <w:tcPr>
            <w:tcW w:w="650" w:type="dxa"/>
            <w:tcBorders>
              <w:top w:val="nil"/>
              <w:left w:val="nil"/>
              <w:bottom w:val="nil"/>
              <w:right w:val="nil"/>
            </w:tcBorders>
            <w:vAlign w:val="center"/>
          </w:tcPr>
          <w:p w:rsidR="00070E6A" w:rsidRDefault="00070E6A">
            <w:pPr>
              <w:widowControl w:val="0"/>
              <w:autoSpaceDE w:val="0"/>
              <w:autoSpaceDN w:val="0"/>
              <w:adjustRightInd w:val="0"/>
              <w:spacing w:after="0" w:line="240" w:lineRule="auto"/>
              <w:ind w:left="240"/>
              <w:rPr>
                <w:rFonts w:ascii="Arial" w:hAnsi="Arial" w:cs="Arial"/>
                <w:sz w:val="16"/>
                <w:szCs w:val="16"/>
                <w:lang w:val="en-US"/>
              </w:rPr>
            </w:pPr>
            <w:r>
              <w:rPr>
                <w:rFonts w:ascii="Arial" w:hAnsi="Arial" w:cs="Arial"/>
                <w:sz w:val="16"/>
                <w:szCs w:val="16"/>
                <w:lang w:val="en-US"/>
              </w:rPr>
              <w:t> </w:t>
            </w:r>
          </w:p>
        </w:tc>
        <w:tc>
          <w:tcPr>
            <w:tcW w:w="390" w:type="dxa"/>
            <w:tcBorders>
              <w:top w:val="nil"/>
              <w:left w:val="nil"/>
              <w:bottom w:val="nil"/>
              <w:right w:val="nil"/>
            </w:tcBorders>
            <w:vAlign w:val="center"/>
          </w:tcPr>
          <w:p w:rsidR="00070E6A" w:rsidRDefault="00070E6A">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C</w:t>
            </w:r>
          </w:p>
        </w:tc>
        <w:tc>
          <w:tcPr>
            <w:tcW w:w="5385" w:type="dxa"/>
            <w:tcBorders>
              <w:top w:val="nil"/>
              <w:left w:val="nil"/>
              <w:bottom w:val="nil"/>
              <w:right w:val="nil"/>
            </w:tcBorders>
            <w:vAlign w:val="center"/>
          </w:tcPr>
          <w:p w:rsidR="00070E6A" w:rsidRDefault="00070E6A">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Semantic memory</w:t>
            </w:r>
          </w:p>
        </w:tc>
        <w:tc>
          <w:tcPr>
            <w:tcW w:w="690" w:type="dxa"/>
            <w:tcBorders>
              <w:top w:val="nil"/>
              <w:left w:val="nil"/>
              <w:bottom w:val="nil"/>
              <w:right w:val="nil"/>
            </w:tcBorders>
            <w:vAlign w:val="center"/>
          </w:tcPr>
          <w:p w:rsidR="00070E6A" w:rsidRDefault="00070E6A">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 </w:t>
            </w:r>
            <w:r w:rsidR="003756F5">
              <w:rPr>
                <w:rFonts w:ascii="Arial" w:hAnsi="Arial" w:cs="Arial"/>
                <w:noProof/>
                <w:lang w:val="en-US" w:eastAsia="en-US"/>
              </w:rPr>
              <w:drawing>
                <wp:inline distT="0" distB="0" distL="0" distR="0">
                  <wp:extent cx="292100" cy="190500"/>
                  <wp:effectExtent l="0" t="0" r="12700" b="1270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2100" cy="190500"/>
                          </a:xfrm>
                          <a:prstGeom prst="rect">
                            <a:avLst/>
                          </a:prstGeom>
                          <a:noFill/>
                          <a:ln>
                            <a:noFill/>
                          </a:ln>
                        </pic:spPr>
                      </pic:pic>
                    </a:graphicData>
                  </a:graphic>
                </wp:inline>
              </w:drawing>
            </w:r>
          </w:p>
        </w:tc>
      </w:tr>
    </w:tbl>
    <w:p w:rsidR="00070E6A" w:rsidRDefault="00070E6A">
      <w:pPr>
        <w:widowControl w:val="0"/>
        <w:autoSpaceDE w:val="0"/>
        <w:autoSpaceDN w:val="0"/>
        <w:adjustRightInd w:val="0"/>
        <w:spacing w:after="0" w:line="240" w:lineRule="auto"/>
        <w:rPr>
          <w:rFonts w:ascii="Arial" w:hAnsi="Arial" w:cs="Arial"/>
          <w:sz w:val="16"/>
          <w:szCs w:val="16"/>
          <w:lang w:val="en-US"/>
        </w:rPr>
      </w:pPr>
    </w:p>
    <w:p w:rsidR="00070E6A" w:rsidRDefault="00070E6A">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1 mark)</w:t>
      </w:r>
    </w:p>
    <w:p w:rsidR="00070E6A" w:rsidRDefault="00070E6A">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7813ED" w:rsidRDefault="00070E6A">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7813ED" w:rsidRDefault="007813ED">
      <w:pPr>
        <w:widowControl w:val="0"/>
        <w:autoSpaceDE w:val="0"/>
        <w:autoSpaceDN w:val="0"/>
        <w:adjustRightInd w:val="0"/>
        <w:spacing w:after="0" w:line="240" w:lineRule="auto"/>
        <w:jc w:val="right"/>
        <w:rPr>
          <w:rFonts w:ascii="Arial" w:hAnsi="Arial" w:cs="Arial"/>
          <w:b/>
          <w:bCs/>
          <w:sz w:val="20"/>
          <w:szCs w:val="20"/>
          <w:lang w:val="en-US"/>
        </w:rPr>
      </w:pPr>
    </w:p>
    <w:p w:rsidR="007813ED" w:rsidRDefault="007813ED">
      <w:pPr>
        <w:widowControl w:val="0"/>
        <w:autoSpaceDE w:val="0"/>
        <w:autoSpaceDN w:val="0"/>
        <w:adjustRightInd w:val="0"/>
        <w:spacing w:after="0" w:line="240" w:lineRule="auto"/>
        <w:jc w:val="right"/>
        <w:rPr>
          <w:rFonts w:ascii="Arial" w:hAnsi="Arial" w:cs="Arial"/>
          <w:b/>
          <w:bCs/>
          <w:sz w:val="20"/>
          <w:szCs w:val="20"/>
          <w:lang w:val="en-US"/>
        </w:rPr>
      </w:pPr>
    </w:p>
    <w:p w:rsidR="007813ED" w:rsidRDefault="007813ED">
      <w:pPr>
        <w:widowControl w:val="0"/>
        <w:autoSpaceDE w:val="0"/>
        <w:autoSpaceDN w:val="0"/>
        <w:adjustRightInd w:val="0"/>
        <w:spacing w:after="0" w:line="240" w:lineRule="auto"/>
        <w:jc w:val="right"/>
        <w:rPr>
          <w:rFonts w:ascii="Arial" w:hAnsi="Arial" w:cs="Arial"/>
          <w:b/>
          <w:bCs/>
          <w:sz w:val="20"/>
          <w:szCs w:val="20"/>
          <w:lang w:val="en-US"/>
        </w:rPr>
      </w:pPr>
    </w:p>
    <w:p w:rsidR="007813ED" w:rsidRDefault="007813ED">
      <w:pPr>
        <w:widowControl w:val="0"/>
        <w:autoSpaceDE w:val="0"/>
        <w:autoSpaceDN w:val="0"/>
        <w:adjustRightInd w:val="0"/>
        <w:spacing w:after="0" w:line="240" w:lineRule="auto"/>
        <w:jc w:val="right"/>
        <w:rPr>
          <w:rFonts w:ascii="Arial" w:hAnsi="Arial" w:cs="Arial"/>
          <w:b/>
          <w:bCs/>
          <w:sz w:val="20"/>
          <w:szCs w:val="20"/>
          <w:lang w:val="en-US"/>
        </w:rPr>
      </w:pPr>
    </w:p>
    <w:p w:rsidR="00070E6A" w:rsidRDefault="00070E6A">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070E6A" w:rsidRDefault="00070E6A">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Q5.</w:t>
      </w:r>
      <w:r>
        <w:rPr>
          <w:rFonts w:ascii="Arial" w:hAnsi="Arial" w:cs="Arial"/>
          <w:lang w:val="en-US"/>
        </w:rPr>
        <w:t> </w:t>
      </w:r>
    </w:p>
    <w:p w:rsidR="00070E6A" w:rsidRDefault="00070E6A">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 xml:space="preserve">Complete the following statement about long-term memory. Shade </w:t>
      </w:r>
      <w:r>
        <w:rPr>
          <w:rFonts w:ascii="Arial" w:hAnsi="Arial" w:cs="Arial"/>
          <w:b/>
          <w:bCs/>
          <w:lang w:val="en-US"/>
        </w:rPr>
        <w:t>one</w:t>
      </w:r>
      <w:r>
        <w:rPr>
          <w:rFonts w:ascii="Arial" w:hAnsi="Arial" w:cs="Arial"/>
          <w:lang w:val="en-US"/>
        </w:rPr>
        <w:t xml:space="preserve"> box only.</w:t>
      </w:r>
    </w:p>
    <w:p w:rsidR="00070E6A" w:rsidRDefault="00070E6A">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Information stored with reference to time and place refers to:</w:t>
      </w:r>
    </w:p>
    <w:p w:rsidR="00070E6A" w:rsidRDefault="00070E6A">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85" w:type="dxa"/>
        <w:tblLayout w:type="fixed"/>
        <w:tblCellMar>
          <w:left w:w="75" w:type="dxa"/>
          <w:right w:w="75" w:type="dxa"/>
        </w:tblCellMar>
        <w:tblLook w:val="0000" w:firstRow="0" w:lastRow="0" w:firstColumn="0" w:lastColumn="0" w:noHBand="0" w:noVBand="0"/>
      </w:tblPr>
      <w:tblGrid>
        <w:gridCol w:w="650"/>
        <w:gridCol w:w="390"/>
        <w:gridCol w:w="5385"/>
        <w:gridCol w:w="690"/>
      </w:tblGrid>
      <w:tr w:rsidR="00070E6A">
        <w:tblPrEx>
          <w:tblCellMar>
            <w:top w:w="0" w:type="dxa"/>
            <w:bottom w:w="0" w:type="dxa"/>
          </w:tblCellMar>
        </w:tblPrEx>
        <w:tc>
          <w:tcPr>
            <w:tcW w:w="650" w:type="dxa"/>
            <w:tcBorders>
              <w:top w:val="nil"/>
              <w:left w:val="nil"/>
              <w:bottom w:val="nil"/>
              <w:right w:val="nil"/>
            </w:tcBorders>
            <w:vAlign w:val="center"/>
          </w:tcPr>
          <w:p w:rsidR="00070E6A" w:rsidRDefault="00070E6A">
            <w:pPr>
              <w:widowControl w:val="0"/>
              <w:autoSpaceDE w:val="0"/>
              <w:autoSpaceDN w:val="0"/>
              <w:adjustRightInd w:val="0"/>
              <w:spacing w:after="0" w:line="240" w:lineRule="auto"/>
              <w:ind w:left="240"/>
              <w:rPr>
                <w:rFonts w:ascii="Arial" w:hAnsi="Arial" w:cs="Arial"/>
                <w:sz w:val="16"/>
                <w:szCs w:val="16"/>
                <w:lang w:val="en-US"/>
              </w:rPr>
            </w:pPr>
            <w:r>
              <w:rPr>
                <w:rFonts w:ascii="Arial" w:hAnsi="Arial" w:cs="Arial"/>
                <w:sz w:val="16"/>
                <w:szCs w:val="16"/>
                <w:lang w:val="en-US"/>
              </w:rPr>
              <w:t> </w:t>
            </w:r>
          </w:p>
        </w:tc>
        <w:tc>
          <w:tcPr>
            <w:tcW w:w="390" w:type="dxa"/>
            <w:tcBorders>
              <w:top w:val="nil"/>
              <w:left w:val="nil"/>
              <w:bottom w:val="nil"/>
              <w:right w:val="nil"/>
            </w:tcBorders>
            <w:vAlign w:val="center"/>
          </w:tcPr>
          <w:p w:rsidR="00070E6A" w:rsidRDefault="00070E6A">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A</w:t>
            </w:r>
          </w:p>
        </w:tc>
        <w:tc>
          <w:tcPr>
            <w:tcW w:w="5385" w:type="dxa"/>
            <w:tcBorders>
              <w:top w:val="nil"/>
              <w:left w:val="nil"/>
              <w:bottom w:val="nil"/>
              <w:right w:val="nil"/>
            </w:tcBorders>
            <w:vAlign w:val="center"/>
          </w:tcPr>
          <w:p w:rsidR="00070E6A" w:rsidRDefault="00070E6A">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Episodic memory</w:t>
            </w:r>
          </w:p>
        </w:tc>
        <w:tc>
          <w:tcPr>
            <w:tcW w:w="690" w:type="dxa"/>
            <w:tcBorders>
              <w:top w:val="nil"/>
              <w:left w:val="nil"/>
              <w:bottom w:val="nil"/>
              <w:right w:val="nil"/>
            </w:tcBorders>
            <w:vAlign w:val="center"/>
          </w:tcPr>
          <w:p w:rsidR="00070E6A" w:rsidRDefault="00070E6A">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 </w:t>
            </w:r>
            <w:r w:rsidR="003756F5">
              <w:rPr>
                <w:rFonts w:ascii="Arial" w:hAnsi="Arial" w:cs="Arial"/>
                <w:noProof/>
                <w:lang w:val="en-US" w:eastAsia="en-US"/>
              </w:rPr>
              <w:drawing>
                <wp:inline distT="0" distB="0" distL="0" distR="0">
                  <wp:extent cx="292100" cy="190500"/>
                  <wp:effectExtent l="0" t="0" r="12700" b="1270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2100" cy="190500"/>
                          </a:xfrm>
                          <a:prstGeom prst="rect">
                            <a:avLst/>
                          </a:prstGeom>
                          <a:noFill/>
                          <a:ln>
                            <a:noFill/>
                          </a:ln>
                        </pic:spPr>
                      </pic:pic>
                    </a:graphicData>
                  </a:graphic>
                </wp:inline>
              </w:drawing>
            </w:r>
          </w:p>
        </w:tc>
      </w:tr>
      <w:tr w:rsidR="00070E6A">
        <w:tblPrEx>
          <w:tblCellMar>
            <w:top w:w="0" w:type="dxa"/>
            <w:bottom w:w="0" w:type="dxa"/>
          </w:tblCellMar>
        </w:tblPrEx>
        <w:tc>
          <w:tcPr>
            <w:tcW w:w="650" w:type="dxa"/>
            <w:tcBorders>
              <w:top w:val="nil"/>
              <w:left w:val="nil"/>
              <w:bottom w:val="nil"/>
              <w:right w:val="nil"/>
            </w:tcBorders>
            <w:vAlign w:val="center"/>
          </w:tcPr>
          <w:p w:rsidR="00070E6A" w:rsidRDefault="00070E6A">
            <w:pPr>
              <w:widowControl w:val="0"/>
              <w:autoSpaceDE w:val="0"/>
              <w:autoSpaceDN w:val="0"/>
              <w:adjustRightInd w:val="0"/>
              <w:spacing w:after="0" w:line="240" w:lineRule="auto"/>
              <w:ind w:left="240"/>
              <w:rPr>
                <w:rFonts w:ascii="Arial" w:hAnsi="Arial" w:cs="Arial"/>
                <w:sz w:val="16"/>
                <w:szCs w:val="16"/>
                <w:lang w:val="en-US"/>
              </w:rPr>
            </w:pPr>
            <w:r>
              <w:rPr>
                <w:rFonts w:ascii="Arial" w:hAnsi="Arial" w:cs="Arial"/>
                <w:sz w:val="16"/>
                <w:szCs w:val="16"/>
                <w:lang w:val="en-US"/>
              </w:rPr>
              <w:t> </w:t>
            </w:r>
          </w:p>
        </w:tc>
        <w:tc>
          <w:tcPr>
            <w:tcW w:w="390" w:type="dxa"/>
            <w:tcBorders>
              <w:top w:val="nil"/>
              <w:left w:val="nil"/>
              <w:bottom w:val="nil"/>
              <w:right w:val="nil"/>
            </w:tcBorders>
            <w:vAlign w:val="center"/>
          </w:tcPr>
          <w:p w:rsidR="00070E6A" w:rsidRDefault="00070E6A">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B</w:t>
            </w:r>
          </w:p>
        </w:tc>
        <w:tc>
          <w:tcPr>
            <w:tcW w:w="5385" w:type="dxa"/>
            <w:tcBorders>
              <w:top w:val="nil"/>
              <w:left w:val="nil"/>
              <w:bottom w:val="nil"/>
              <w:right w:val="nil"/>
            </w:tcBorders>
            <w:vAlign w:val="center"/>
          </w:tcPr>
          <w:p w:rsidR="00070E6A" w:rsidRDefault="00070E6A">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Procedural memory</w:t>
            </w:r>
          </w:p>
        </w:tc>
        <w:tc>
          <w:tcPr>
            <w:tcW w:w="690" w:type="dxa"/>
            <w:tcBorders>
              <w:top w:val="nil"/>
              <w:left w:val="nil"/>
              <w:bottom w:val="nil"/>
              <w:right w:val="nil"/>
            </w:tcBorders>
            <w:vAlign w:val="center"/>
          </w:tcPr>
          <w:p w:rsidR="00070E6A" w:rsidRDefault="00070E6A">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 </w:t>
            </w:r>
            <w:r w:rsidR="003756F5">
              <w:rPr>
                <w:rFonts w:ascii="Arial" w:hAnsi="Arial" w:cs="Arial"/>
                <w:noProof/>
                <w:lang w:val="en-US" w:eastAsia="en-US"/>
              </w:rPr>
              <w:drawing>
                <wp:inline distT="0" distB="0" distL="0" distR="0">
                  <wp:extent cx="292100" cy="190500"/>
                  <wp:effectExtent l="0" t="0" r="12700" b="1270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2100" cy="190500"/>
                          </a:xfrm>
                          <a:prstGeom prst="rect">
                            <a:avLst/>
                          </a:prstGeom>
                          <a:noFill/>
                          <a:ln>
                            <a:noFill/>
                          </a:ln>
                        </pic:spPr>
                      </pic:pic>
                    </a:graphicData>
                  </a:graphic>
                </wp:inline>
              </w:drawing>
            </w:r>
          </w:p>
        </w:tc>
      </w:tr>
      <w:tr w:rsidR="00070E6A">
        <w:tblPrEx>
          <w:tblCellMar>
            <w:top w:w="0" w:type="dxa"/>
            <w:bottom w:w="0" w:type="dxa"/>
          </w:tblCellMar>
        </w:tblPrEx>
        <w:tc>
          <w:tcPr>
            <w:tcW w:w="650" w:type="dxa"/>
            <w:tcBorders>
              <w:top w:val="nil"/>
              <w:left w:val="nil"/>
              <w:bottom w:val="nil"/>
              <w:right w:val="nil"/>
            </w:tcBorders>
            <w:vAlign w:val="center"/>
          </w:tcPr>
          <w:p w:rsidR="00070E6A" w:rsidRDefault="00070E6A">
            <w:pPr>
              <w:widowControl w:val="0"/>
              <w:autoSpaceDE w:val="0"/>
              <w:autoSpaceDN w:val="0"/>
              <w:adjustRightInd w:val="0"/>
              <w:spacing w:after="0" w:line="240" w:lineRule="auto"/>
              <w:ind w:left="240"/>
              <w:rPr>
                <w:rFonts w:ascii="Arial" w:hAnsi="Arial" w:cs="Arial"/>
                <w:sz w:val="16"/>
                <w:szCs w:val="16"/>
                <w:lang w:val="en-US"/>
              </w:rPr>
            </w:pPr>
            <w:r>
              <w:rPr>
                <w:rFonts w:ascii="Arial" w:hAnsi="Arial" w:cs="Arial"/>
                <w:sz w:val="16"/>
                <w:szCs w:val="16"/>
                <w:lang w:val="en-US"/>
              </w:rPr>
              <w:t> </w:t>
            </w:r>
          </w:p>
        </w:tc>
        <w:tc>
          <w:tcPr>
            <w:tcW w:w="390" w:type="dxa"/>
            <w:tcBorders>
              <w:top w:val="nil"/>
              <w:left w:val="nil"/>
              <w:bottom w:val="nil"/>
              <w:right w:val="nil"/>
            </w:tcBorders>
            <w:vAlign w:val="center"/>
          </w:tcPr>
          <w:p w:rsidR="00070E6A" w:rsidRDefault="00070E6A">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C</w:t>
            </w:r>
          </w:p>
        </w:tc>
        <w:tc>
          <w:tcPr>
            <w:tcW w:w="5385" w:type="dxa"/>
            <w:tcBorders>
              <w:top w:val="nil"/>
              <w:left w:val="nil"/>
              <w:bottom w:val="nil"/>
              <w:right w:val="nil"/>
            </w:tcBorders>
            <w:vAlign w:val="center"/>
          </w:tcPr>
          <w:p w:rsidR="00070E6A" w:rsidRDefault="00070E6A">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Semantic memory</w:t>
            </w:r>
          </w:p>
        </w:tc>
        <w:tc>
          <w:tcPr>
            <w:tcW w:w="690" w:type="dxa"/>
            <w:tcBorders>
              <w:top w:val="nil"/>
              <w:left w:val="nil"/>
              <w:bottom w:val="nil"/>
              <w:right w:val="nil"/>
            </w:tcBorders>
            <w:vAlign w:val="center"/>
          </w:tcPr>
          <w:p w:rsidR="00070E6A" w:rsidRDefault="00070E6A">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 </w:t>
            </w:r>
            <w:r w:rsidR="003756F5">
              <w:rPr>
                <w:rFonts w:ascii="Arial" w:hAnsi="Arial" w:cs="Arial"/>
                <w:noProof/>
                <w:lang w:val="en-US" w:eastAsia="en-US"/>
              </w:rPr>
              <w:drawing>
                <wp:inline distT="0" distB="0" distL="0" distR="0">
                  <wp:extent cx="292100" cy="190500"/>
                  <wp:effectExtent l="0" t="0" r="12700" b="1270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2100" cy="190500"/>
                          </a:xfrm>
                          <a:prstGeom prst="rect">
                            <a:avLst/>
                          </a:prstGeom>
                          <a:noFill/>
                          <a:ln>
                            <a:noFill/>
                          </a:ln>
                        </pic:spPr>
                      </pic:pic>
                    </a:graphicData>
                  </a:graphic>
                </wp:inline>
              </w:drawing>
            </w:r>
          </w:p>
        </w:tc>
      </w:tr>
    </w:tbl>
    <w:p w:rsidR="00070E6A" w:rsidRDefault="00070E6A">
      <w:pPr>
        <w:widowControl w:val="0"/>
        <w:autoSpaceDE w:val="0"/>
        <w:autoSpaceDN w:val="0"/>
        <w:adjustRightInd w:val="0"/>
        <w:spacing w:after="0" w:line="240" w:lineRule="auto"/>
        <w:rPr>
          <w:rFonts w:ascii="Arial" w:hAnsi="Arial" w:cs="Arial"/>
          <w:sz w:val="16"/>
          <w:szCs w:val="16"/>
          <w:lang w:val="en-US"/>
        </w:rPr>
      </w:pPr>
    </w:p>
    <w:p w:rsidR="00070E6A" w:rsidRDefault="00070E6A">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1 mark)</w:t>
      </w:r>
    </w:p>
    <w:p w:rsidR="00070E6A" w:rsidRDefault="00070E6A">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070E6A" w:rsidRDefault="00070E6A">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070E6A" w:rsidRDefault="00070E6A">
      <w:pPr>
        <w:widowControl w:val="0"/>
        <w:autoSpaceDE w:val="0"/>
        <w:autoSpaceDN w:val="0"/>
        <w:adjustRightInd w:val="0"/>
        <w:spacing w:after="0" w:line="240" w:lineRule="auto"/>
        <w:rPr>
          <w:rFonts w:ascii="Arial" w:hAnsi="Arial" w:cs="Arial"/>
          <w:b/>
          <w:bCs/>
          <w:sz w:val="20"/>
          <w:szCs w:val="20"/>
          <w:lang w:val="en-US"/>
        </w:rPr>
      </w:pPr>
      <w:r>
        <w:rPr>
          <w:rFonts w:ascii="Arial" w:hAnsi="Arial" w:cs="Arial"/>
          <w:b/>
          <w:bCs/>
          <w:sz w:val="20"/>
          <w:szCs w:val="20"/>
          <w:lang w:val="en-US"/>
        </w:rPr>
        <w:br w:type="page"/>
      </w:r>
    </w:p>
    <w:p w:rsidR="00070E6A" w:rsidRDefault="00070E6A">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t> </w:t>
      </w:r>
    </w:p>
    <w:p w:rsidR="00070E6A" w:rsidRDefault="00070E6A">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br/>
      </w:r>
    </w:p>
    <w:p w:rsidR="00070E6A" w:rsidRDefault="00070E6A">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M1.</w:t>
      </w:r>
      <w:r>
        <w:rPr>
          <w:rFonts w:ascii="Arial" w:hAnsi="Arial" w:cs="Arial"/>
          <w:lang w:val="en-US"/>
        </w:rPr>
        <w:t> </w:t>
      </w:r>
    </w:p>
    <w:p w:rsidR="00070E6A" w:rsidRDefault="00070E6A">
      <w:pPr>
        <w:widowControl w:val="0"/>
        <w:autoSpaceDE w:val="0"/>
        <w:autoSpaceDN w:val="0"/>
        <w:adjustRightInd w:val="0"/>
        <w:spacing w:after="0" w:line="240" w:lineRule="auto"/>
        <w:ind w:left="567" w:right="567"/>
        <w:rPr>
          <w:rFonts w:ascii="Arial" w:hAnsi="Arial" w:cs="Arial"/>
          <w:color w:val="2E2EFE"/>
          <w:lang w:val="en-US"/>
        </w:rPr>
      </w:pPr>
      <w:r>
        <w:rPr>
          <w:rFonts w:ascii="Arial" w:hAnsi="Arial" w:cs="Arial"/>
          <w:color w:val="2E2EFE"/>
          <w:lang w:val="en-US"/>
        </w:rPr>
        <w:t>Please note that the AOs for the new AQA Specification (Sept 2015 onwards) have changed. Under the new Specification the following system of AOs applies:</w:t>
      </w:r>
    </w:p>
    <w:p w:rsidR="00070E6A" w:rsidRDefault="00070E6A">
      <w:pPr>
        <w:widowControl w:val="0"/>
        <w:autoSpaceDE w:val="0"/>
        <w:autoSpaceDN w:val="0"/>
        <w:adjustRightInd w:val="0"/>
        <w:spacing w:before="240" w:after="0" w:line="240" w:lineRule="auto"/>
        <w:ind w:left="1134" w:right="567" w:hanging="567"/>
        <w:rPr>
          <w:rFonts w:ascii="Arial" w:hAnsi="Arial" w:cs="Arial"/>
          <w:color w:val="2E2EFE"/>
          <w:lang w:val="en-US"/>
        </w:rPr>
      </w:pPr>
      <w:r>
        <w:rPr>
          <w:rFonts w:ascii="Arial" w:hAnsi="Arial" w:cs="Arial"/>
          <w:color w:val="2E2EFE"/>
          <w:lang w:val="en-US"/>
        </w:rPr>
        <w:t>•        AO1 knowledge and understanding</w:t>
      </w:r>
    </w:p>
    <w:p w:rsidR="00070E6A" w:rsidRDefault="00070E6A">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AO2 application (of psychological knowledge)</w:t>
      </w:r>
    </w:p>
    <w:p w:rsidR="00070E6A" w:rsidRDefault="00070E6A">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AO3 evaluation, analysis, interpretation.</w:t>
      </w:r>
    </w:p>
    <w:p w:rsidR="00070E6A" w:rsidRDefault="00070E6A">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br/>
      </w:r>
      <w:r>
        <w:rPr>
          <w:rFonts w:ascii="Arial" w:hAnsi="Arial" w:cs="Arial"/>
          <w:color w:val="2E2EFE"/>
          <w:lang w:val="en-US"/>
        </w:rPr>
        <w:br/>
      </w:r>
    </w:p>
    <w:p w:rsidR="00070E6A" w:rsidRDefault="00070E6A">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[AO1 = 2, AO2 = 1]</w:t>
      </w:r>
    </w:p>
    <w:p w:rsidR="00070E6A" w:rsidRDefault="00070E6A">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AO1</w:t>
      </w:r>
    </w:p>
    <w:p w:rsidR="00070E6A" w:rsidRDefault="00070E6A">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 xml:space="preserve">1 mark each for a descriptive point about procedural and semantic memory. </w:t>
      </w:r>
      <w:r>
        <w:rPr>
          <w:rFonts w:ascii="Arial" w:hAnsi="Arial" w:cs="Arial"/>
          <w:lang w:val="en-US"/>
        </w:rPr>
        <w:br/>
        <w:t xml:space="preserve">Procedural memory is a motor / action-based memory or a memory of how to do something. </w:t>
      </w:r>
      <w:r>
        <w:rPr>
          <w:rFonts w:ascii="Arial" w:hAnsi="Arial" w:cs="Arial"/>
          <w:lang w:val="en-US"/>
        </w:rPr>
        <w:br/>
        <w:t xml:space="preserve">Semantic memory is memory for facts / information about the world / knowledge memory / the meaning of words. </w:t>
      </w:r>
      <w:r>
        <w:rPr>
          <w:rFonts w:ascii="Arial" w:hAnsi="Arial" w:cs="Arial"/>
          <w:lang w:val="en-US"/>
        </w:rPr>
        <w:br/>
        <w:t xml:space="preserve">No credit for answers based on semantic processing. </w:t>
      </w:r>
      <w:r>
        <w:rPr>
          <w:rFonts w:ascii="Arial" w:hAnsi="Arial" w:cs="Arial"/>
          <w:lang w:val="en-US"/>
        </w:rPr>
        <w:br/>
        <w:t>Do not credit examples alone.</w:t>
      </w:r>
    </w:p>
    <w:p w:rsidR="00070E6A" w:rsidRDefault="00070E6A">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AO2</w:t>
      </w:r>
    </w:p>
    <w:p w:rsidR="00070E6A" w:rsidRDefault="00070E6A">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1 mark for a distinction point. Likely points: procedural is non-declarative / not easy to express in words and semantic is declarative / knowing how vs knowing that;procedural is more resistant to forgetting; semantic is conscious and procedural less conscious;stored in different parts of the brain.</w:t>
      </w:r>
      <w:r>
        <w:rPr>
          <w:rFonts w:ascii="Arial" w:hAnsi="Arial" w:cs="Arial"/>
          <w:lang w:val="en-US"/>
        </w:rPr>
        <w:br/>
      </w:r>
      <w:r>
        <w:rPr>
          <w:rFonts w:ascii="Arial" w:hAnsi="Arial" w:cs="Arial"/>
          <w:lang w:val="en-US"/>
        </w:rPr>
        <w:br/>
        <w:t xml:space="preserve">Allow full credit for one distinction point that is fully elaborated or for more than one point with less detail about each. </w:t>
      </w:r>
      <w:r>
        <w:rPr>
          <w:rFonts w:ascii="Arial" w:hAnsi="Arial" w:cs="Arial"/>
          <w:lang w:val="en-US"/>
        </w:rPr>
        <w:br/>
        <w:t>Allow full credit for three valid distinction points.</w:t>
      </w:r>
    </w:p>
    <w:p w:rsidR="00070E6A" w:rsidRDefault="00070E6A">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p>
    <w:p w:rsidR="00070E6A" w:rsidRDefault="00070E6A">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r>
        <w:rPr>
          <w:rFonts w:ascii="Arial" w:hAnsi="Arial" w:cs="Arial"/>
          <w:lang w:val="en-US"/>
        </w:rPr>
        <w:br/>
      </w:r>
    </w:p>
    <w:p w:rsidR="00070E6A" w:rsidRDefault="00070E6A">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M2.</w:t>
      </w:r>
      <w:r>
        <w:rPr>
          <w:rFonts w:ascii="Arial" w:hAnsi="Arial" w:cs="Arial"/>
          <w:lang w:val="en-US"/>
        </w:rPr>
        <w:t> </w:t>
      </w:r>
    </w:p>
    <w:p w:rsidR="00070E6A" w:rsidRDefault="00070E6A">
      <w:pPr>
        <w:widowControl w:val="0"/>
        <w:autoSpaceDE w:val="0"/>
        <w:autoSpaceDN w:val="0"/>
        <w:adjustRightInd w:val="0"/>
        <w:spacing w:after="0" w:line="240" w:lineRule="auto"/>
        <w:ind w:left="567" w:right="567"/>
        <w:rPr>
          <w:rFonts w:ascii="Arial" w:hAnsi="Arial" w:cs="Arial"/>
          <w:color w:val="2E2EFE"/>
          <w:lang w:val="en-US"/>
        </w:rPr>
      </w:pPr>
      <w:r>
        <w:rPr>
          <w:rFonts w:ascii="Arial" w:hAnsi="Arial" w:cs="Arial"/>
          <w:color w:val="2E2EFE"/>
          <w:lang w:val="en-US"/>
        </w:rPr>
        <w:t>Please note that the AOs for the new AQA Specification (Sept 2015 onwards) have changed. Under the new Specification the following system of AOs applies:</w:t>
      </w:r>
    </w:p>
    <w:p w:rsidR="00070E6A" w:rsidRDefault="00070E6A">
      <w:pPr>
        <w:widowControl w:val="0"/>
        <w:autoSpaceDE w:val="0"/>
        <w:autoSpaceDN w:val="0"/>
        <w:adjustRightInd w:val="0"/>
        <w:spacing w:before="240" w:after="0" w:line="240" w:lineRule="auto"/>
        <w:ind w:left="1134" w:right="567" w:hanging="567"/>
        <w:rPr>
          <w:rFonts w:ascii="Arial" w:hAnsi="Arial" w:cs="Arial"/>
          <w:color w:val="2E2EFE"/>
          <w:lang w:val="en-US"/>
        </w:rPr>
      </w:pPr>
      <w:r>
        <w:rPr>
          <w:rFonts w:ascii="Arial" w:hAnsi="Arial" w:cs="Arial"/>
          <w:color w:val="2E2EFE"/>
          <w:lang w:val="en-US"/>
        </w:rPr>
        <w:t>•        AO1 knowledge and understanding</w:t>
      </w:r>
    </w:p>
    <w:p w:rsidR="00070E6A" w:rsidRDefault="00070E6A">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AO2 application (of psychological knowledge)</w:t>
      </w:r>
    </w:p>
    <w:p w:rsidR="00070E6A" w:rsidRDefault="00070E6A">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AO3 evaluation, analysis, interpretation.</w:t>
      </w:r>
    </w:p>
    <w:p w:rsidR="00070E6A" w:rsidRDefault="00070E6A">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br/>
      </w:r>
      <w:r>
        <w:rPr>
          <w:rFonts w:ascii="Arial" w:hAnsi="Arial" w:cs="Arial"/>
          <w:color w:val="2E2EFE"/>
          <w:lang w:val="en-US"/>
        </w:rPr>
        <w:br/>
      </w:r>
    </w:p>
    <w:p w:rsidR="00070E6A" w:rsidRDefault="00070E6A">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[AO1 = 2, AO2 = 1]</w:t>
      </w:r>
    </w:p>
    <w:p w:rsidR="00070E6A" w:rsidRDefault="00070E6A">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AO1</w:t>
      </w:r>
    </w:p>
    <w:p w:rsidR="00070E6A" w:rsidRDefault="00070E6A">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One mark each for:</w:t>
      </w:r>
      <w:r>
        <w:rPr>
          <w:rFonts w:ascii="Arial" w:hAnsi="Arial" w:cs="Arial"/>
          <w:lang w:val="en-US"/>
        </w:rPr>
        <w:br/>
        <w:t>An example of semantic memory – knowing that Paris is the capital of France or a hawk is a bird of prey.</w:t>
      </w:r>
      <w:r>
        <w:rPr>
          <w:rFonts w:ascii="Arial" w:hAnsi="Arial" w:cs="Arial"/>
          <w:lang w:val="en-US"/>
        </w:rPr>
        <w:br/>
        <w:t>An example of episodic memory – remembering a conversation we had yesterday or our 10th birthday party. Example must be personalised to get credit.</w:t>
      </w:r>
    </w:p>
    <w:p w:rsidR="00070E6A" w:rsidRDefault="00070E6A">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AO2</w:t>
      </w:r>
    </w:p>
    <w:p w:rsidR="00070E6A" w:rsidRDefault="00070E6A">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One mark for a distinction point. Likely points: semantic memories are general knowledge about the world, but episodic memories are memories of our personal experiences. Or, we may not recall when and where we learned / encoded our semantic memories but we do recall this for our episodic memories. Evidence suggests they are located in different areas of the brain.</w:t>
      </w:r>
    </w:p>
    <w:p w:rsidR="00070E6A" w:rsidRDefault="00070E6A">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p>
    <w:p w:rsidR="00070E6A" w:rsidRDefault="00070E6A">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r>
        <w:rPr>
          <w:rFonts w:ascii="Arial" w:hAnsi="Arial" w:cs="Arial"/>
          <w:lang w:val="en-US"/>
        </w:rPr>
        <w:br/>
      </w:r>
    </w:p>
    <w:p w:rsidR="00070E6A" w:rsidRDefault="00070E6A">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M3.</w:t>
      </w:r>
      <w:r>
        <w:rPr>
          <w:rFonts w:ascii="Arial" w:hAnsi="Arial" w:cs="Arial"/>
          <w:lang w:val="en-US"/>
        </w:rPr>
        <w:t> </w:t>
      </w:r>
    </w:p>
    <w:p w:rsidR="00070E6A" w:rsidRDefault="00070E6A">
      <w:pPr>
        <w:widowControl w:val="0"/>
        <w:autoSpaceDE w:val="0"/>
        <w:autoSpaceDN w:val="0"/>
        <w:adjustRightInd w:val="0"/>
        <w:spacing w:after="0" w:line="240" w:lineRule="auto"/>
        <w:ind w:left="567" w:right="567"/>
        <w:rPr>
          <w:rFonts w:ascii="Arial" w:hAnsi="Arial" w:cs="Arial"/>
          <w:color w:val="2E2EFE"/>
          <w:lang w:val="en-US"/>
        </w:rPr>
      </w:pPr>
      <w:r>
        <w:rPr>
          <w:rFonts w:ascii="Arial" w:hAnsi="Arial" w:cs="Arial"/>
          <w:color w:val="2E2EFE"/>
          <w:lang w:val="en-US"/>
        </w:rPr>
        <w:t>Please note that the AOs for the new AQA Specification (Sept 2015 onwards) have changed. Under the new Specification the following system of AOs applies:</w:t>
      </w:r>
    </w:p>
    <w:p w:rsidR="00070E6A" w:rsidRDefault="00070E6A">
      <w:pPr>
        <w:widowControl w:val="0"/>
        <w:autoSpaceDE w:val="0"/>
        <w:autoSpaceDN w:val="0"/>
        <w:adjustRightInd w:val="0"/>
        <w:spacing w:before="240" w:after="0" w:line="240" w:lineRule="auto"/>
        <w:ind w:left="1134" w:right="567" w:hanging="567"/>
        <w:rPr>
          <w:rFonts w:ascii="Arial" w:hAnsi="Arial" w:cs="Arial"/>
          <w:color w:val="2E2EFE"/>
          <w:lang w:val="en-US"/>
        </w:rPr>
      </w:pPr>
      <w:r>
        <w:rPr>
          <w:rFonts w:ascii="Arial" w:hAnsi="Arial" w:cs="Arial"/>
          <w:color w:val="2E2EFE"/>
          <w:lang w:val="en-US"/>
        </w:rPr>
        <w:t>•        AO1 knowledge and understanding</w:t>
      </w:r>
    </w:p>
    <w:p w:rsidR="00070E6A" w:rsidRDefault="00070E6A">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AO2 application (of psychological knowledge)</w:t>
      </w:r>
    </w:p>
    <w:p w:rsidR="00070E6A" w:rsidRDefault="00070E6A">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AO3 evaluation, analysis, interpretation.</w:t>
      </w:r>
    </w:p>
    <w:p w:rsidR="00070E6A" w:rsidRDefault="00070E6A">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br/>
      </w:r>
      <w:r>
        <w:rPr>
          <w:rFonts w:ascii="Arial" w:hAnsi="Arial" w:cs="Arial"/>
          <w:color w:val="2E2EFE"/>
          <w:lang w:val="en-US"/>
        </w:rPr>
        <w:br/>
      </w:r>
    </w:p>
    <w:p w:rsidR="00070E6A" w:rsidRDefault="00070E6A">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[AO1 = 2, AO2 = 1]</w:t>
      </w:r>
    </w:p>
    <w:p w:rsidR="00070E6A" w:rsidRDefault="00070E6A">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AO1</w:t>
      </w:r>
    </w:p>
    <w:p w:rsidR="00070E6A" w:rsidRDefault="00070E6A">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AO1 Award up to two marks for a definition of any two of the following:</w:t>
      </w:r>
    </w:p>
    <w:p w:rsidR="00070E6A" w:rsidRDefault="00070E6A">
      <w:pPr>
        <w:widowControl w:val="0"/>
        <w:autoSpaceDE w:val="0"/>
        <w:autoSpaceDN w:val="0"/>
        <w:adjustRightInd w:val="0"/>
        <w:spacing w:before="240" w:after="0" w:line="240" w:lineRule="auto"/>
        <w:ind w:left="1134" w:right="1134" w:hanging="567"/>
        <w:rPr>
          <w:rFonts w:ascii="Arial" w:hAnsi="Arial" w:cs="Arial"/>
          <w:lang w:val="en-US"/>
        </w:rPr>
      </w:pPr>
      <w:r>
        <w:rPr>
          <w:rFonts w:ascii="Arial" w:hAnsi="Arial" w:cs="Arial"/>
          <w:lang w:val="en-US"/>
        </w:rPr>
        <w:t>•        semantic – memory for facts / general knowledge;</w:t>
      </w:r>
    </w:p>
    <w:p w:rsidR="00070E6A" w:rsidRDefault="00070E6A">
      <w:pPr>
        <w:widowControl w:val="0"/>
        <w:autoSpaceDE w:val="0"/>
        <w:autoSpaceDN w:val="0"/>
        <w:adjustRightInd w:val="0"/>
        <w:spacing w:after="0" w:line="240" w:lineRule="auto"/>
        <w:ind w:left="1134" w:right="1134" w:hanging="567"/>
        <w:rPr>
          <w:rFonts w:ascii="Arial" w:hAnsi="Arial" w:cs="Arial"/>
          <w:lang w:val="en-US"/>
        </w:rPr>
      </w:pPr>
      <w:r>
        <w:rPr>
          <w:rFonts w:ascii="Arial" w:hAnsi="Arial" w:cs="Arial"/>
          <w:lang w:val="en-US"/>
        </w:rPr>
        <w:t>•        episodic – memory for (life) events / experiences;</w:t>
      </w:r>
    </w:p>
    <w:p w:rsidR="00070E6A" w:rsidRDefault="00070E6A">
      <w:pPr>
        <w:widowControl w:val="0"/>
        <w:autoSpaceDE w:val="0"/>
        <w:autoSpaceDN w:val="0"/>
        <w:adjustRightInd w:val="0"/>
        <w:spacing w:after="0" w:line="240" w:lineRule="auto"/>
        <w:ind w:left="1134" w:right="1134" w:hanging="567"/>
        <w:rPr>
          <w:rFonts w:ascii="Arial" w:hAnsi="Arial" w:cs="Arial"/>
          <w:lang w:val="en-US"/>
        </w:rPr>
      </w:pPr>
      <w:r>
        <w:rPr>
          <w:rFonts w:ascii="Arial" w:hAnsi="Arial" w:cs="Arial"/>
          <w:lang w:val="en-US"/>
        </w:rPr>
        <w:t>•        procedural – memory for (motor) skills / actions / knowing how to do things.</w:t>
      </w:r>
    </w:p>
    <w:p w:rsidR="00070E6A" w:rsidRDefault="00070E6A">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No credit for stand-alone examples.</w:t>
      </w:r>
    </w:p>
    <w:p w:rsidR="00070E6A" w:rsidRDefault="00070E6A">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r>
        <w:rPr>
          <w:rFonts w:ascii="Arial" w:hAnsi="Arial" w:cs="Arial"/>
          <w:lang w:val="en-US"/>
        </w:rPr>
        <w:br/>
      </w:r>
    </w:p>
    <w:p w:rsidR="00070E6A" w:rsidRDefault="00070E6A">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AO2</w:t>
      </w:r>
    </w:p>
    <w:p w:rsidR="00070E6A" w:rsidRDefault="00070E6A">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Award one mark for a valid difference / distinction between the types of long- term memory chosen.</w:t>
      </w:r>
      <w:r>
        <w:rPr>
          <w:rFonts w:ascii="Arial" w:hAnsi="Arial" w:cs="Arial"/>
          <w:lang w:val="en-US"/>
        </w:rPr>
        <w:br/>
      </w:r>
      <w:r>
        <w:rPr>
          <w:rFonts w:ascii="Arial" w:hAnsi="Arial" w:cs="Arial"/>
          <w:lang w:val="en-US"/>
        </w:rPr>
        <w:br/>
        <w:t xml:space="preserve">Possible answers: semantic / episodic – ‘knowing that’ / declarative memory; available for conscious inspection – procedural – ‘knowing how’ / non-declarative memory; often unavailable for conscious inspection. </w:t>
      </w:r>
      <w:r>
        <w:rPr>
          <w:rFonts w:ascii="Arial" w:hAnsi="Arial" w:cs="Arial"/>
          <w:lang w:val="en-US"/>
        </w:rPr>
        <w:br/>
        <w:t xml:space="preserve">Semantic – may not recall when we learned / encoded these memories </w:t>
      </w:r>
      <w:r>
        <w:rPr>
          <w:rFonts w:ascii="Arial" w:hAnsi="Arial" w:cs="Arial"/>
          <w:lang w:val="en-US"/>
        </w:rPr>
        <w:br/>
        <w:t xml:space="preserve">– episodic – stored with reference to time and place. </w:t>
      </w:r>
      <w:r>
        <w:rPr>
          <w:rFonts w:ascii="Arial" w:hAnsi="Arial" w:cs="Arial"/>
          <w:lang w:val="en-US"/>
        </w:rPr>
        <w:br/>
        <w:t xml:space="preserve">Credit distinctions based on the durability / resistance to forgetting of different types of memory; the fact that evidence suggests that these types of memory reside in different areas of the brain. </w:t>
      </w:r>
      <w:r>
        <w:rPr>
          <w:rFonts w:ascii="Arial" w:hAnsi="Arial" w:cs="Arial"/>
          <w:lang w:val="en-US"/>
        </w:rPr>
        <w:br/>
        <w:t>Credit other valid distinction points.</w:t>
      </w:r>
      <w:r>
        <w:rPr>
          <w:rFonts w:ascii="Arial" w:hAnsi="Arial" w:cs="Arial"/>
          <w:lang w:val="en-US"/>
        </w:rPr>
        <w:br/>
      </w:r>
      <w:r>
        <w:rPr>
          <w:rFonts w:ascii="Arial" w:hAnsi="Arial" w:cs="Arial"/>
          <w:lang w:val="en-US"/>
        </w:rPr>
        <w:br/>
        <w:t xml:space="preserve">Note that the explanation of the difference must make reference to </w:t>
      </w:r>
      <w:r>
        <w:rPr>
          <w:rFonts w:ascii="Arial" w:hAnsi="Arial" w:cs="Arial"/>
          <w:b/>
          <w:bCs/>
          <w:lang w:val="en-US"/>
        </w:rPr>
        <w:t>both</w:t>
      </w:r>
      <w:r>
        <w:rPr>
          <w:rFonts w:ascii="Arial" w:hAnsi="Arial" w:cs="Arial"/>
          <w:lang w:val="en-US"/>
        </w:rPr>
        <w:t xml:space="preserve"> types of memory.</w:t>
      </w:r>
    </w:p>
    <w:p w:rsidR="00070E6A" w:rsidRDefault="00070E6A">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p>
    <w:p w:rsidR="00070E6A" w:rsidRDefault="00070E6A">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r>
        <w:rPr>
          <w:rFonts w:ascii="Arial" w:hAnsi="Arial" w:cs="Arial"/>
          <w:lang w:val="en-US"/>
        </w:rPr>
        <w:br/>
      </w:r>
    </w:p>
    <w:p w:rsidR="00070E6A" w:rsidRDefault="00070E6A">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M4.</w:t>
      </w:r>
      <w:r>
        <w:rPr>
          <w:rFonts w:ascii="Arial" w:hAnsi="Arial" w:cs="Arial"/>
          <w:lang w:val="en-US"/>
        </w:rPr>
        <w:t> </w:t>
      </w:r>
    </w:p>
    <w:p w:rsidR="00070E6A" w:rsidRDefault="00070E6A">
      <w:pPr>
        <w:widowControl w:val="0"/>
        <w:autoSpaceDE w:val="0"/>
        <w:autoSpaceDN w:val="0"/>
        <w:adjustRightInd w:val="0"/>
        <w:spacing w:after="0" w:line="240" w:lineRule="auto"/>
        <w:ind w:left="567" w:right="1134"/>
        <w:rPr>
          <w:rFonts w:ascii="Arial" w:hAnsi="Arial" w:cs="Arial"/>
          <w:b/>
          <w:bCs/>
          <w:lang w:val="en-US"/>
        </w:rPr>
      </w:pPr>
      <w:r>
        <w:rPr>
          <w:rFonts w:ascii="Arial" w:hAnsi="Arial" w:cs="Arial"/>
          <w:b/>
          <w:bCs/>
          <w:lang w:val="en-US"/>
        </w:rPr>
        <w:t>[AO1 = 1]</w:t>
      </w:r>
    </w:p>
    <w:p w:rsidR="00070E6A" w:rsidRDefault="00070E6A">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B</w:t>
      </w:r>
    </w:p>
    <w:p w:rsidR="00070E6A" w:rsidRDefault="00070E6A">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p>
    <w:p w:rsidR="00070E6A" w:rsidRDefault="00070E6A">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r>
        <w:rPr>
          <w:rFonts w:ascii="Arial" w:hAnsi="Arial" w:cs="Arial"/>
          <w:lang w:val="en-US"/>
        </w:rPr>
        <w:br/>
      </w:r>
    </w:p>
    <w:p w:rsidR="00070E6A" w:rsidRDefault="00070E6A">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M5.</w:t>
      </w:r>
      <w:r>
        <w:rPr>
          <w:rFonts w:ascii="Arial" w:hAnsi="Arial" w:cs="Arial"/>
          <w:lang w:val="en-US"/>
        </w:rPr>
        <w:t> </w:t>
      </w:r>
    </w:p>
    <w:p w:rsidR="00070E6A" w:rsidRDefault="00070E6A">
      <w:pPr>
        <w:widowControl w:val="0"/>
        <w:autoSpaceDE w:val="0"/>
        <w:autoSpaceDN w:val="0"/>
        <w:adjustRightInd w:val="0"/>
        <w:spacing w:after="0" w:line="240" w:lineRule="auto"/>
        <w:ind w:left="567" w:right="1134"/>
        <w:rPr>
          <w:rFonts w:ascii="Arial" w:hAnsi="Arial" w:cs="Arial"/>
          <w:b/>
          <w:bCs/>
          <w:lang w:val="en-US"/>
        </w:rPr>
      </w:pPr>
      <w:r>
        <w:rPr>
          <w:rFonts w:ascii="Arial" w:hAnsi="Arial" w:cs="Arial"/>
          <w:b/>
          <w:bCs/>
          <w:lang w:val="en-US"/>
        </w:rPr>
        <w:t>[AO1 = 1]</w:t>
      </w:r>
    </w:p>
    <w:p w:rsidR="00070E6A" w:rsidRDefault="00070E6A">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A</w:t>
      </w:r>
    </w:p>
    <w:p w:rsidR="00070E6A" w:rsidRDefault="00070E6A">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p>
    <w:p w:rsidR="00070E6A" w:rsidRDefault="00070E6A">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p>
    <w:p w:rsidR="00070E6A" w:rsidRDefault="00070E6A">
      <w:pPr>
        <w:widowControl w:val="0"/>
        <w:autoSpaceDE w:val="0"/>
        <w:autoSpaceDN w:val="0"/>
        <w:adjustRightInd w:val="0"/>
        <w:spacing w:after="0" w:line="240" w:lineRule="auto"/>
        <w:rPr>
          <w:rFonts w:ascii="Arial" w:hAnsi="Arial" w:cs="Arial"/>
          <w:lang w:val="en-US"/>
        </w:rPr>
      </w:pPr>
      <w:r>
        <w:rPr>
          <w:rFonts w:ascii="Arial" w:hAnsi="Arial" w:cs="Arial"/>
          <w:lang w:val="en-US"/>
        </w:rPr>
        <w:br w:type="page"/>
      </w:r>
    </w:p>
    <w:p w:rsidR="00070E6A" w:rsidRDefault="00070E6A">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t> </w:t>
      </w:r>
    </w:p>
    <w:p w:rsidR="00070E6A" w:rsidRDefault="00070E6A">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br/>
      </w:r>
    </w:p>
    <w:p w:rsidR="00070E6A" w:rsidRDefault="00070E6A">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E1.</w:t>
      </w:r>
      <w:r>
        <w:rPr>
          <w:rFonts w:ascii="Arial" w:hAnsi="Arial" w:cs="Arial"/>
          <w:lang w:val="en-US"/>
        </w:rPr>
        <w:t> </w:t>
      </w:r>
    </w:p>
    <w:p w:rsidR="00070E6A" w:rsidRDefault="00070E6A">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Two marks was the norm here. Typical definitions referred to ‘memory for motor skills’ for procedural and ‘memory for facts / general knowledge’ for semantic. There was confusion between ‘semantic memory’ and ‘semantic processing’ in a small number of answers. The third ‘distinction’ mark proved rather elusive and many students did not attempt it, perhaps assuming they had already distinguished between the two types of memory by defining them. Indeed, some students, who included terms such as ‘declarative’ and ‘non-declarative’ as part of their definitions, gained the third mark almost ‘accidentally’ as a result. Others were more explicit and produced detailed distinction points that were often based upon the amount of conscious processing required for each type of memory.</w:t>
      </w:r>
    </w:p>
    <w:p w:rsidR="00070E6A" w:rsidRDefault="00070E6A">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p>
    <w:p w:rsidR="00070E6A" w:rsidRDefault="00070E6A">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070E6A" w:rsidRDefault="00070E6A">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E2.</w:t>
      </w:r>
      <w:r>
        <w:rPr>
          <w:rFonts w:ascii="Arial" w:hAnsi="Arial" w:cs="Arial"/>
          <w:lang w:val="en-US"/>
        </w:rPr>
        <w:t> </w:t>
      </w:r>
    </w:p>
    <w:p w:rsidR="00070E6A" w:rsidRDefault="00070E6A">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Many students did not give an unambiguous example of episodic memory. Many examples veered a little too close to semantic memory of ‘facts’, such as, ‘remembering the date of my mum’s birthday’ or ‘knowing that I had cornflakes for breakfast’. Examples of global or national events such as 9 / 11 or the Queen`s Jubilee, needed to be personalised; for example, ‘my memory for how I felt when I heard the news of 9 / 11’ to become creditworthy. Examples of semantic memory presented fewer problems for students although there was occasionally confusion with procedural memory. Most students did not make their distinction point explicit, but having defined both types of memory in their answer – even though this was not required by the question – credit was awarded for an implicit distinction. Those students who did produce an explicit distinction point often correctly explained that information related to ‘time and place’ is necessary for the formation of an episodic memory, whilst this is not the case for semantic.</w:t>
      </w:r>
    </w:p>
    <w:p w:rsidR="00070E6A" w:rsidRDefault="00070E6A">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p>
    <w:p w:rsidR="00070E6A" w:rsidRDefault="00070E6A">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070E6A" w:rsidRDefault="00070E6A">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E3.</w:t>
      </w:r>
      <w:r>
        <w:rPr>
          <w:rFonts w:ascii="Arial" w:hAnsi="Arial" w:cs="Arial"/>
          <w:lang w:val="en-US"/>
        </w:rPr>
        <w:t> </w:t>
      </w:r>
    </w:p>
    <w:p w:rsidR="00070E6A" w:rsidRDefault="00070E6A">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This was generally well answered with the majority scoring at least two of the three marks available. Some students gave examples rather than definitions of their chosen types of long term memory which did not gain credit, unless they were supported by some description. The differences given were often a repetition of the attempted definitions. Most students earned their third mark through some explanation of the declarative / non-declarative distinction, provided they had chosen two appropriate types in the first place.</w:t>
      </w:r>
    </w:p>
    <w:p w:rsidR="00070E6A" w:rsidRDefault="00070E6A">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p>
    <w:p w:rsidR="00070E6A" w:rsidRDefault="00070E6A">
      <w:pPr>
        <w:widowControl w:val="0"/>
        <w:autoSpaceDE w:val="0"/>
        <w:autoSpaceDN w:val="0"/>
        <w:adjustRightInd w:val="0"/>
        <w:spacing w:after="0" w:line="240" w:lineRule="auto"/>
        <w:ind w:left="567" w:right="567"/>
      </w:pPr>
      <w:r>
        <w:rPr>
          <w:rFonts w:ascii="Arial" w:hAnsi="Arial" w:cs="Arial"/>
          <w:lang w:val="en-US"/>
        </w:rPr>
        <w:br/>
      </w:r>
    </w:p>
    <w:sectPr w:rsidR="00070E6A">
      <w:headerReference w:type="default" r:id="rId8"/>
      <w:footerReference w:type="default" r:id="rId9"/>
      <w:pgSz w:w="11907" w:h="16839"/>
      <w:pgMar w:top="1134" w:right="567" w:bottom="1134" w:left="1417"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0041" w:rsidRDefault="00B00041">
      <w:pPr>
        <w:spacing w:after="0" w:line="240" w:lineRule="auto"/>
      </w:pPr>
      <w:r>
        <w:separator/>
      </w:r>
    </w:p>
  </w:endnote>
  <w:endnote w:type="continuationSeparator" w:id="0">
    <w:p w:rsidR="00B00041" w:rsidRDefault="00B000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0E6A" w:rsidRDefault="00070E6A">
    <w:pPr>
      <w:framePr w:wrap="auto" w:vAnchor="page" w:hAnchor="page" w:x="5630" w:y="15890"/>
      <w:widowControl w:val="0"/>
      <w:autoSpaceDE w:val="0"/>
      <w:autoSpaceDN w:val="0"/>
      <w:adjustRightInd w:val="0"/>
      <w:spacing w:after="0" w:line="240" w:lineRule="auto"/>
      <w:rPr>
        <w:rFonts w:ascii="Arial" w:hAnsi="Arial" w:cs="Arial"/>
        <w:sz w:val="24"/>
        <w:szCs w:val="24"/>
        <w:lang w:val="en-US"/>
      </w:rPr>
    </w:pPr>
    <w:r>
      <w:rPr>
        <w:rFonts w:ascii="Arial" w:hAnsi="Arial" w:cs="Arial"/>
        <w:sz w:val="24"/>
        <w:szCs w:val="24"/>
        <w:lang w:val="en-US"/>
      </w:rPr>
      <w:t xml:space="preserve">Page </w:t>
    </w:r>
    <w:r>
      <w:rPr>
        <w:rFonts w:ascii="Arial" w:hAnsi="Arial" w:cs="Arial"/>
        <w:sz w:val="24"/>
        <w:szCs w:val="24"/>
        <w:lang w:val="en-US"/>
      </w:rPr>
      <w:fldChar w:fldCharType="begin"/>
    </w:r>
    <w:r>
      <w:rPr>
        <w:rFonts w:ascii="Arial" w:hAnsi="Arial" w:cs="Arial"/>
        <w:sz w:val="24"/>
        <w:szCs w:val="24"/>
        <w:lang w:val="en-US"/>
      </w:rPr>
      <w:instrText>PAGE</w:instrText>
    </w:r>
    <w:r>
      <w:rPr>
        <w:rFonts w:ascii="Arial" w:hAnsi="Arial" w:cs="Arial"/>
        <w:sz w:val="24"/>
        <w:szCs w:val="24"/>
        <w:lang w:val="en-US"/>
      </w:rPr>
      <w:fldChar w:fldCharType="separate"/>
    </w:r>
    <w:r w:rsidR="003756F5">
      <w:rPr>
        <w:rFonts w:ascii="Arial" w:hAnsi="Arial" w:cs="Arial"/>
        <w:noProof/>
        <w:sz w:val="24"/>
        <w:szCs w:val="24"/>
        <w:lang w:val="en-US"/>
      </w:rPr>
      <w:t>1</w:t>
    </w:r>
    <w:r>
      <w:rPr>
        <w:rFonts w:ascii="Arial" w:hAnsi="Arial" w:cs="Arial"/>
        <w:sz w:val="24"/>
        <w:szCs w:val="24"/>
        <w:lang w:val="en-US"/>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0041" w:rsidRDefault="00B00041">
      <w:pPr>
        <w:spacing w:after="0" w:line="240" w:lineRule="auto"/>
      </w:pPr>
      <w:r>
        <w:separator/>
      </w:r>
    </w:p>
  </w:footnote>
  <w:footnote w:type="continuationSeparator" w:id="0">
    <w:p w:rsidR="00B00041" w:rsidRDefault="00B00041">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0E6A" w:rsidRDefault="00070E6A">
    <w:pPr>
      <w:widowControl w:val="0"/>
      <w:autoSpaceDE w:val="0"/>
      <w:autoSpaceDN w:val="0"/>
      <w:adjustRightInd w:val="0"/>
      <w:spacing w:before="100" w:after="100" w:line="240" w:lineRule="auto"/>
      <w:jc w:val="right"/>
      <w:rPr>
        <w:rFonts w:ascii="Arial" w:hAnsi="Arial" w:cs="Arial"/>
        <w:color w:val="A6A6A6"/>
        <w:sz w:val="20"/>
        <w:szCs w:val="20"/>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savePreviewPicture/>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49AC"/>
    <w:rsid w:val="00070E6A"/>
    <w:rsid w:val="003756F5"/>
    <w:rsid w:val="006849AC"/>
    <w:rsid w:val="007813ED"/>
    <w:rsid w:val="00B000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813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813ED"/>
    <w:rPr>
      <w:rFonts w:ascii="Tahoma" w:hAnsi="Tahoma" w:cs="Tahoma"/>
      <w:sz w:val="16"/>
      <w:szCs w:val="16"/>
    </w:rPr>
  </w:style>
  <w:style w:type="paragraph" w:styleId="Header">
    <w:name w:val="header"/>
    <w:basedOn w:val="Normal"/>
    <w:link w:val="HeaderChar"/>
    <w:uiPriority w:val="99"/>
    <w:unhideWhenUsed/>
    <w:rsid w:val="003756F5"/>
    <w:pPr>
      <w:tabs>
        <w:tab w:val="center" w:pos="4320"/>
        <w:tab w:val="right" w:pos="8640"/>
      </w:tabs>
    </w:pPr>
  </w:style>
  <w:style w:type="character" w:customStyle="1" w:styleId="HeaderChar">
    <w:name w:val="Header Char"/>
    <w:basedOn w:val="DefaultParagraphFont"/>
    <w:link w:val="Header"/>
    <w:uiPriority w:val="99"/>
    <w:rsid w:val="003756F5"/>
    <w:rPr>
      <w:lang w:eastAsia="en-GB"/>
    </w:rPr>
  </w:style>
  <w:style w:type="paragraph" w:styleId="Footer">
    <w:name w:val="footer"/>
    <w:basedOn w:val="Normal"/>
    <w:link w:val="FooterChar"/>
    <w:uiPriority w:val="99"/>
    <w:unhideWhenUsed/>
    <w:rsid w:val="003756F5"/>
    <w:pPr>
      <w:tabs>
        <w:tab w:val="center" w:pos="4320"/>
        <w:tab w:val="right" w:pos="8640"/>
      </w:tabs>
    </w:pPr>
  </w:style>
  <w:style w:type="character" w:customStyle="1" w:styleId="FooterChar">
    <w:name w:val="Footer Char"/>
    <w:basedOn w:val="DefaultParagraphFont"/>
    <w:link w:val="Footer"/>
    <w:uiPriority w:val="99"/>
    <w:rsid w:val="003756F5"/>
    <w:rPr>
      <w:lang w:eastAsia="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813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813ED"/>
    <w:rPr>
      <w:rFonts w:ascii="Tahoma" w:hAnsi="Tahoma" w:cs="Tahoma"/>
      <w:sz w:val="16"/>
      <w:szCs w:val="16"/>
    </w:rPr>
  </w:style>
  <w:style w:type="paragraph" w:styleId="Header">
    <w:name w:val="header"/>
    <w:basedOn w:val="Normal"/>
    <w:link w:val="HeaderChar"/>
    <w:uiPriority w:val="99"/>
    <w:unhideWhenUsed/>
    <w:rsid w:val="003756F5"/>
    <w:pPr>
      <w:tabs>
        <w:tab w:val="center" w:pos="4320"/>
        <w:tab w:val="right" w:pos="8640"/>
      </w:tabs>
    </w:pPr>
  </w:style>
  <w:style w:type="character" w:customStyle="1" w:styleId="HeaderChar">
    <w:name w:val="Header Char"/>
    <w:basedOn w:val="DefaultParagraphFont"/>
    <w:link w:val="Header"/>
    <w:uiPriority w:val="99"/>
    <w:rsid w:val="003756F5"/>
    <w:rPr>
      <w:lang w:eastAsia="en-GB"/>
    </w:rPr>
  </w:style>
  <w:style w:type="paragraph" w:styleId="Footer">
    <w:name w:val="footer"/>
    <w:basedOn w:val="Normal"/>
    <w:link w:val="FooterChar"/>
    <w:uiPriority w:val="99"/>
    <w:unhideWhenUsed/>
    <w:rsid w:val="003756F5"/>
    <w:pPr>
      <w:tabs>
        <w:tab w:val="center" w:pos="4320"/>
        <w:tab w:val="right" w:pos="8640"/>
      </w:tabs>
    </w:pPr>
  </w:style>
  <w:style w:type="character" w:customStyle="1" w:styleId="FooterChar">
    <w:name w:val="Footer Char"/>
    <w:basedOn w:val="DefaultParagraphFont"/>
    <w:link w:val="Footer"/>
    <w:uiPriority w:val="99"/>
    <w:rsid w:val="003756F5"/>
    <w:rPr>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1047</Words>
  <Characters>5973</Characters>
  <Application>Microsoft Macintosh Word</Application>
  <DocSecurity>0</DocSecurity>
  <Lines>49</Lines>
  <Paragraphs>14</Paragraphs>
  <ScaleCrop>false</ScaleCrop>
  <Company>Park High School</Company>
  <LinksUpToDate>false</LinksUpToDate>
  <CharactersWithSpaces>7006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Backory, Vanessa</dc:creator>
  <cp:keywords/>
  <dc:description/>
  <cp:lastModifiedBy>Steve Hickman</cp:lastModifiedBy>
  <cp:revision>2</cp:revision>
  <cp:lastPrinted>2015-11-18T11:14:00Z</cp:lastPrinted>
  <dcterms:created xsi:type="dcterms:W3CDTF">2016-05-09T19:17:00Z</dcterms:created>
  <dcterms:modified xsi:type="dcterms:W3CDTF">2016-05-09T19:17:00Z</dcterms:modified>
</cp:coreProperties>
</file>