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5DC0EC" w14:textId="77777777" w:rsidR="00DB44AC" w:rsidRPr="009051CF" w:rsidRDefault="009051CF" w:rsidP="009051CF">
      <w:pPr>
        <w:spacing w:before="240" w:after="180" w:line="240" w:lineRule="auto"/>
        <w:jc w:val="center"/>
        <w:outlineLvl w:val="1"/>
        <w:rPr>
          <w:rFonts w:ascii="AQAChevinDemiBold" w:eastAsia="Times New Roman" w:hAnsi="AQAChevinDemiBold" w:cs="Helvetica"/>
          <w:b/>
          <w:color w:val="412878"/>
          <w:sz w:val="35"/>
          <w:szCs w:val="31"/>
          <w:lang w:val="en" w:eastAsia="en-GB"/>
        </w:rPr>
      </w:pPr>
      <w:r w:rsidRPr="009051CF">
        <w:rPr>
          <w:rFonts w:ascii="AQAChevinDemiBold" w:eastAsia="Times New Roman" w:hAnsi="AQAChevinDemiBold" w:cs="Helvetica"/>
          <w:b/>
          <w:color w:val="412878"/>
          <w:sz w:val="35"/>
          <w:szCs w:val="31"/>
          <w:lang w:val="en" w:eastAsia="en-GB"/>
        </w:rPr>
        <w:t xml:space="preserve">Paper 2: </w:t>
      </w:r>
      <w:r w:rsidR="00DB44AC" w:rsidRPr="009051CF">
        <w:rPr>
          <w:rFonts w:ascii="AQAChevinDemiBold" w:eastAsia="Times New Roman" w:hAnsi="AQAChevinDemiBold" w:cs="Helvetica"/>
          <w:b/>
          <w:color w:val="412878"/>
          <w:sz w:val="35"/>
          <w:szCs w:val="31"/>
          <w:lang w:val="en" w:eastAsia="en-GB"/>
        </w:rPr>
        <w:t xml:space="preserve">Families and households </w:t>
      </w:r>
      <w:r w:rsidRPr="009051CF">
        <w:rPr>
          <w:rFonts w:ascii="AQAChevinDemiBold" w:eastAsia="Times New Roman" w:hAnsi="AQAChevinDemiBold" w:cs="Helvetica"/>
          <w:b/>
          <w:color w:val="412878"/>
          <w:sz w:val="35"/>
          <w:szCs w:val="31"/>
          <w:lang w:val="en" w:eastAsia="en-GB"/>
        </w:rPr>
        <w:t>– The Specification</w:t>
      </w:r>
    </w:p>
    <w:tbl>
      <w:tblPr>
        <w:tblW w:w="5070" w:type="pct"/>
        <w:tblInd w:w="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9"/>
        <w:gridCol w:w="6238"/>
      </w:tblGrid>
      <w:tr w:rsidR="009051CF" w:rsidRPr="00DB44AC" w14:paraId="0E1B38BC" w14:textId="77777777" w:rsidTr="009051CF">
        <w:tc>
          <w:tcPr>
            <w:tcW w:w="2143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4BEEC69" w14:textId="77777777" w:rsidR="00DB44AC" w:rsidRPr="009051CF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b/>
                <w:szCs w:val="19"/>
                <w:lang w:eastAsia="en-GB"/>
              </w:rPr>
            </w:pPr>
            <w:r w:rsidRPr="009051CF">
              <w:rPr>
                <w:rFonts w:ascii="Helvetica" w:eastAsia="Times New Roman" w:hAnsi="Helvetica" w:cs="Helvetica"/>
                <w:b/>
                <w:szCs w:val="19"/>
                <w:lang w:eastAsia="en-GB"/>
              </w:rPr>
              <w:t>Topic 1.</w:t>
            </w:r>
          </w:p>
          <w:p w14:paraId="7B804757" w14:textId="77777777" w:rsidR="00DB44AC" w:rsidRPr="00DB44AC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The relationship of the family to the social structure and social change, with particular reference to the economy and to state policies</w:t>
            </w:r>
          </w:p>
        </w:tc>
        <w:tc>
          <w:tcPr>
            <w:tcW w:w="2857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33DD496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Different sociological views,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eg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functionalist, feminist, Marxist, New Right and postmodernist, on the role of the family and its relationship to wider social structures such as the economy.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Parsons, Murdock,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Zaretsky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Oakley</w:t>
            </w:r>
          </w:p>
          <w:p w14:paraId="76113B42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The impact of government legislation,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eg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divorce, adoption and </w:t>
            </w:r>
            <w:proofErr w:type="gram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same</w:t>
            </w:r>
            <w:proofErr w:type="gram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sex marriage, and policies,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eg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education, housing and welfare, on the family.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Donzelot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Leonard, Murray</w:t>
            </w:r>
          </w:p>
        </w:tc>
      </w:tr>
      <w:tr w:rsidR="009051CF" w:rsidRPr="00DB44AC" w14:paraId="70AB7A49" w14:textId="77777777" w:rsidTr="009051CF">
        <w:tc>
          <w:tcPr>
            <w:tcW w:w="2143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55C421D" w14:textId="77777777" w:rsidR="00DB44AC" w:rsidRPr="009051CF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b/>
                <w:sz w:val="24"/>
                <w:szCs w:val="24"/>
                <w:lang w:eastAsia="en-GB"/>
              </w:rPr>
            </w:pPr>
            <w:r w:rsidRPr="009051CF">
              <w:rPr>
                <w:rFonts w:ascii="Helvetica" w:eastAsia="Times New Roman" w:hAnsi="Helvetica" w:cs="Helvetica"/>
                <w:b/>
                <w:sz w:val="24"/>
                <w:szCs w:val="24"/>
                <w:lang w:eastAsia="en-GB"/>
              </w:rPr>
              <w:t>Topic 2.</w:t>
            </w:r>
          </w:p>
          <w:p w14:paraId="7F6126C0" w14:textId="77777777" w:rsidR="00DB44AC" w:rsidRPr="00DB44AC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Changing patterns of marriage, cohabitation, separation, divorce, childbearing and the life course, including the sociology of personal life, and the diversity of contemporary family and household structures</w:t>
            </w:r>
            <w:bookmarkStart w:id="0" w:name="_GoBack"/>
            <w:bookmarkEnd w:id="0"/>
          </w:p>
        </w:tc>
        <w:tc>
          <w:tcPr>
            <w:tcW w:w="2857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D189A3F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An understanding of the trends in contemporary family and household structures,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eg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symmetrical family, beanpole families,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matrifocal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families, serial monogamy, lone-parent families, house husbands, living apart together, same sex couples etc.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Chester,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Giddens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Rapoports</w:t>
            </w:r>
            <w:proofErr w:type="spellEnd"/>
          </w:p>
          <w:p w14:paraId="43E23E86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Different sociological explanations for the reasons and significance of these trends.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Weeks, Chester, Stacey</w:t>
            </w:r>
          </w:p>
          <w:p w14:paraId="59857A23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Including the significance of individual choice in personal relationships and the significance of relationships beyond the traditional family structures.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May, Smart, Stacey</w:t>
            </w:r>
          </w:p>
        </w:tc>
      </w:tr>
      <w:tr w:rsidR="009051CF" w:rsidRPr="00DB44AC" w14:paraId="5AFB2EB5" w14:textId="77777777" w:rsidTr="009051CF">
        <w:tc>
          <w:tcPr>
            <w:tcW w:w="2143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D7F4019" w14:textId="77777777" w:rsidR="00DB44AC" w:rsidRPr="009051CF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</w:pPr>
            <w:r w:rsidRPr="009051CF"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  <w:t>Topic 3.</w:t>
            </w:r>
          </w:p>
          <w:p w14:paraId="15CAE968" w14:textId="77777777" w:rsidR="00DB44AC" w:rsidRPr="00DB44AC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Gender roles, domestic labour and power relationships within the family in contemporary society</w:t>
            </w:r>
          </w:p>
        </w:tc>
        <w:tc>
          <w:tcPr>
            <w:tcW w:w="2857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4690B08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Different sociological arguments and evidence on this, including an understanding of the extent of changes and also diversity of experiences.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Dunscombe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 and Marsden,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Pahl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Dunne</w:t>
            </w:r>
          </w:p>
          <w:p w14:paraId="6CD8F9FC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Different aspects of relationships, </w:t>
            </w:r>
            <w:proofErr w:type="spellStart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eg</w:t>
            </w:r>
            <w:proofErr w:type="spellEnd"/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domestic labour, childcare, domestic violence, finance, dual burden triple shift etc.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Pahl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 and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Vogler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Dobash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 and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Dobash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Gershuny</w:t>
            </w:r>
            <w:proofErr w:type="spellEnd"/>
          </w:p>
        </w:tc>
      </w:tr>
      <w:tr w:rsidR="009051CF" w:rsidRPr="00DB44AC" w14:paraId="11614315" w14:textId="77777777" w:rsidTr="009051CF">
        <w:tc>
          <w:tcPr>
            <w:tcW w:w="2143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13BC0D3" w14:textId="77777777" w:rsidR="009051CF" w:rsidRPr="009051CF" w:rsidRDefault="009051CF" w:rsidP="00DB44AC">
            <w:pPr>
              <w:spacing w:after="0" w:line="360" w:lineRule="atLeast"/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</w:pPr>
            <w:r w:rsidRPr="009051CF"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  <w:t>Topic 4</w:t>
            </w:r>
          </w:p>
          <w:p w14:paraId="1C614E26" w14:textId="77777777" w:rsidR="00DB44AC" w:rsidRPr="00DB44AC" w:rsidRDefault="00DB44AC" w:rsidP="00DB44AC">
            <w:pPr>
              <w:spacing w:after="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The nature of childhood, and changes in the status of children in the family and society</w:t>
            </w:r>
          </w:p>
        </w:tc>
        <w:tc>
          <w:tcPr>
            <w:tcW w:w="2857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BFFC612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How childhood is socially constructed.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Pilcher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Aries, Wagg</w:t>
            </w:r>
          </w:p>
          <w:p w14:paraId="7E5E7834" w14:textId="77777777" w:rsidR="009051CF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Different sociological views on the nature and experience of childhood.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Postman, Palmer, Womack</w:t>
            </w:r>
          </w:p>
          <w:p w14:paraId="093650AA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How childhood is experienced differently across gender, ethnicity and social class.</w:t>
            </w:r>
            <w:r w:rsidR="009051CF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McRobbie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 and Garber,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Brannen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Howard</w:t>
            </w:r>
          </w:p>
          <w:p w14:paraId="03C14149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Cross cultural differences and how the experience of childhood has changed historically.</w:t>
            </w:r>
          </w:p>
          <w:p w14:paraId="27F2317D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Aries, Punch,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Donzelot</w:t>
            </w:r>
            <w:proofErr w:type="spellEnd"/>
          </w:p>
        </w:tc>
      </w:tr>
      <w:tr w:rsidR="009051CF" w:rsidRPr="00DB44AC" w14:paraId="3AC5FCA5" w14:textId="77777777" w:rsidTr="009051CF">
        <w:tc>
          <w:tcPr>
            <w:tcW w:w="2143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5B5738B8" w14:textId="77777777" w:rsidR="009051CF" w:rsidRPr="009051CF" w:rsidRDefault="009051CF" w:rsidP="00DB44AC">
            <w:pPr>
              <w:spacing w:after="240" w:line="360" w:lineRule="atLeast"/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</w:pPr>
            <w:r w:rsidRPr="009051CF">
              <w:rPr>
                <w:rFonts w:ascii="Helvetica" w:eastAsia="Times New Roman" w:hAnsi="Helvetica" w:cs="Helvetica"/>
                <w:b/>
                <w:sz w:val="24"/>
                <w:szCs w:val="19"/>
                <w:lang w:eastAsia="en-GB"/>
              </w:rPr>
              <w:t>Topic 5.</w:t>
            </w:r>
          </w:p>
          <w:p w14:paraId="3C27DE9C" w14:textId="77777777" w:rsidR="00DB44AC" w:rsidRPr="00DB44AC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Demographic trends in the United Kingdom since 1900: birth rates, death rates, family size, life expectancy, ageing population, and migration and globalisation</w:t>
            </w:r>
          </w:p>
        </w:tc>
        <w:tc>
          <w:tcPr>
            <w:tcW w:w="2857" w:type="pct"/>
            <w:tcBorders>
              <w:top w:val="single" w:sz="6" w:space="0" w:color="EBEBEB"/>
              <w:left w:val="single" w:sz="6" w:space="0" w:color="EBEBEB"/>
              <w:bottom w:val="single" w:sz="6" w:space="0" w:color="EBEBEB"/>
              <w:right w:val="single" w:sz="6" w:space="0" w:color="EBEBEB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093D27F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 xml:space="preserve">Sociological debates about the nature, causes and significance of these changes. </w:t>
            </w:r>
          </w:p>
          <w:p w14:paraId="21FF4B73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McKeown</w:t>
            </w:r>
            <w:proofErr w:type="spellEnd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, Hirsch, Townsend</w:t>
            </w:r>
          </w:p>
          <w:p w14:paraId="59FE312D" w14:textId="77777777" w:rsidR="00DB44AC" w:rsidRPr="00DB44AC" w:rsidRDefault="00DB44AC" w:rsidP="009051CF">
            <w:pPr>
              <w:spacing w:after="240" w:line="240" w:lineRule="auto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  <w:t>How these changes impact on family and households, and also wider society, including concepts such as net migration, infant mortality rate and fertility rate.</w:t>
            </w:r>
          </w:p>
          <w:p w14:paraId="07B1603F" w14:textId="77777777" w:rsidR="00DB44AC" w:rsidRPr="00DB44AC" w:rsidRDefault="00DB44AC" w:rsidP="00DB44AC">
            <w:pPr>
              <w:spacing w:after="240" w:line="360" w:lineRule="atLeast"/>
              <w:rPr>
                <w:rFonts w:ascii="Helvetica" w:eastAsia="Times New Roman" w:hAnsi="Helvetica" w:cs="Helvetica"/>
                <w:sz w:val="19"/>
                <w:szCs w:val="19"/>
                <w:lang w:eastAsia="en-GB"/>
              </w:rPr>
            </w:pPr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 xml:space="preserve">The Griffiths report, Picher, </w:t>
            </w:r>
            <w:proofErr w:type="spellStart"/>
            <w:r w:rsidRPr="00DB44AC">
              <w:rPr>
                <w:rFonts w:ascii="Helvetica" w:eastAsia="Times New Roman" w:hAnsi="Helvetica" w:cs="Helvetica"/>
                <w:b/>
                <w:bCs/>
                <w:sz w:val="19"/>
                <w:szCs w:val="19"/>
                <w:lang w:eastAsia="en-GB"/>
              </w:rPr>
              <w:t>Blaikie</w:t>
            </w:r>
            <w:proofErr w:type="spellEnd"/>
          </w:p>
        </w:tc>
      </w:tr>
    </w:tbl>
    <w:p w14:paraId="587A22C7" w14:textId="77777777" w:rsidR="00DA5998" w:rsidRDefault="00DA5998"/>
    <w:sectPr w:rsidR="00DA5998" w:rsidSect="009051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QAChevinDemiBold">
    <w:altName w:val="Times New Roman"/>
    <w:charset w:val="00"/>
    <w:family w:val="auto"/>
    <w:pitch w:val="default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4AC"/>
    <w:rsid w:val="009051CF"/>
    <w:rsid w:val="00DA5998"/>
    <w:rsid w:val="00DB4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066B4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B44AC"/>
    <w:pPr>
      <w:spacing w:before="240" w:after="180" w:line="240" w:lineRule="auto"/>
      <w:outlineLvl w:val="1"/>
    </w:pPr>
    <w:rPr>
      <w:rFonts w:ascii="AQAChevinDemiBold" w:eastAsia="Times New Roman" w:hAnsi="AQAChevinDemiBold" w:cs="Times New Roman"/>
      <w:color w:val="412878"/>
      <w:sz w:val="39"/>
      <w:szCs w:val="39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44AC"/>
    <w:rPr>
      <w:rFonts w:ascii="AQAChevinDemiBold" w:eastAsia="Times New Roman" w:hAnsi="AQAChevinDemiBold" w:cs="Times New Roman"/>
      <w:color w:val="412878"/>
      <w:sz w:val="39"/>
      <w:szCs w:val="39"/>
      <w:lang w:eastAsia="en-GB"/>
    </w:rPr>
  </w:style>
  <w:style w:type="character" w:styleId="Strong">
    <w:name w:val="Strong"/>
    <w:basedOn w:val="DefaultParagraphFont"/>
    <w:uiPriority w:val="22"/>
    <w:qFormat/>
    <w:rsid w:val="00DB44AC"/>
    <w:rPr>
      <w:b/>
      <w:bCs/>
    </w:rPr>
  </w:style>
  <w:style w:type="paragraph" w:styleId="NormalWeb">
    <w:name w:val="Normal (Web)"/>
    <w:basedOn w:val="Normal"/>
    <w:uiPriority w:val="99"/>
    <w:unhideWhenUsed/>
    <w:rsid w:val="00DB44AC"/>
    <w:pPr>
      <w:spacing w:after="240" w:line="360" w:lineRule="atLeas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B44AC"/>
    <w:pPr>
      <w:spacing w:before="240" w:after="180" w:line="240" w:lineRule="auto"/>
      <w:outlineLvl w:val="1"/>
    </w:pPr>
    <w:rPr>
      <w:rFonts w:ascii="AQAChevinDemiBold" w:eastAsia="Times New Roman" w:hAnsi="AQAChevinDemiBold" w:cs="Times New Roman"/>
      <w:color w:val="412878"/>
      <w:sz w:val="39"/>
      <w:szCs w:val="39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B44AC"/>
    <w:rPr>
      <w:rFonts w:ascii="AQAChevinDemiBold" w:eastAsia="Times New Roman" w:hAnsi="AQAChevinDemiBold" w:cs="Times New Roman"/>
      <w:color w:val="412878"/>
      <w:sz w:val="39"/>
      <w:szCs w:val="39"/>
      <w:lang w:eastAsia="en-GB"/>
    </w:rPr>
  </w:style>
  <w:style w:type="character" w:styleId="Strong">
    <w:name w:val="Strong"/>
    <w:basedOn w:val="DefaultParagraphFont"/>
    <w:uiPriority w:val="22"/>
    <w:qFormat/>
    <w:rsid w:val="00DB44AC"/>
    <w:rPr>
      <w:b/>
      <w:bCs/>
    </w:rPr>
  </w:style>
  <w:style w:type="paragraph" w:styleId="NormalWeb">
    <w:name w:val="Normal (Web)"/>
    <w:basedOn w:val="Normal"/>
    <w:uiPriority w:val="99"/>
    <w:unhideWhenUsed/>
    <w:rsid w:val="00DB44AC"/>
    <w:pPr>
      <w:spacing w:after="240" w:line="360" w:lineRule="atLeas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4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44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0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179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15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3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13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77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769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1530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074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3347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700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97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2052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9318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415</Words>
  <Characters>2370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Park High School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Hickman, Stephen</dc:creator>
  <cp:lastModifiedBy>Steve Hickman</cp:lastModifiedBy>
  <cp:revision>2</cp:revision>
  <cp:lastPrinted>2016-02-09T16:36:00Z</cp:lastPrinted>
  <dcterms:created xsi:type="dcterms:W3CDTF">2016-02-09T16:33:00Z</dcterms:created>
  <dcterms:modified xsi:type="dcterms:W3CDTF">2016-04-10T09:46:00Z</dcterms:modified>
</cp:coreProperties>
</file>